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86B2E" w14:textId="48BD8908" w:rsidR="00BF55A5" w:rsidRPr="001772FD" w:rsidRDefault="00BF55A5" w:rsidP="00BF55A5">
      <w:pPr>
        <w:tabs>
          <w:tab w:val="left" w:pos="1701"/>
          <w:tab w:val="right" w:pos="9639"/>
        </w:tabs>
        <w:overflowPunct w:val="0"/>
        <w:autoSpaceDE w:val="0"/>
        <w:autoSpaceDN w:val="0"/>
        <w:adjustRightInd w:val="0"/>
        <w:spacing w:after="60" w:line="240" w:lineRule="auto"/>
        <w:jc w:val="both"/>
        <w:rPr>
          <w:rFonts w:ascii="Arial" w:eastAsia="Times New Roman" w:hAnsi="Arial" w:cs="Times New Roman"/>
          <w:b/>
          <w:sz w:val="32"/>
          <w:szCs w:val="32"/>
          <w:lang w:val="en-GB" w:eastAsia="zh-CN"/>
        </w:rPr>
      </w:pPr>
      <w:r w:rsidRPr="001772FD">
        <w:rPr>
          <w:rFonts w:ascii="Arial" w:eastAsia="Times New Roman" w:hAnsi="Arial" w:cs="Times New Roman"/>
          <w:b/>
          <w:sz w:val="24"/>
          <w:szCs w:val="20"/>
          <w:lang w:val="en-GB" w:eastAsia="zh-CN"/>
        </w:rPr>
        <w:t>3GPP TSG RAN WG1 Meeting #9</w:t>
      </w:r>
      <w:r w:rsidR="007B1965">
        <w:rPr>
          <w:rFonts w:ascii="Arial" w:eastAsia="Times New Roman" w:hAnsi="Arial" w:cs="Times New Roman"/>
          <w:b/>
          <w:sz w:val="24"/>
          <w:szCs w:val="20"/>
          <w:lang w:val="en-GB" w:eastAsia="zh-CN"/>
        </w:rPr>
        <w:t>6</w:t>
      </w:r>
      <w:r w:rsidR="00783CCB">
        <w:rPr>
          <w:rFonts w:ascii="Arial" w:eastAsia="Times New Roman" w:hAnsi="Arial" w:cs="Times New Roman"/>
          <w:b/>
          <w:sz w:val="24"/>
          <w:szCs w:val="20"/>
          <w:lang w:val="en-GB" w:eastAsia="zh-CN"/>
        </w:rPr>
        <w:t>bis</w:t>
      </w:r>
      <w:r w:rsidRPr="001772FD">
        <w:rPr>
          <w:rFonts w:ascii="Arial" w:eastAsia="Times New Roman" w:hAnsi="Arial" w:cs="Times New Roman"/>
          <w:b/>
          <w:sz w:val="24"/>
          <w:szCs w:val="20"/>
          <w:lang w:val="en-GB" w:eastAsia="zh-CN"/>
        </w:rPr>
        <w:tab/>
      </w:r>
      <w:r w:rsidRPr="001772FD">
        <w:rPr>
          <w:rFonts w:ascii="Arial" w:eastAsia="Times New Roman" w:hAnsi="Arial" w:cs="Times New Roman"/>
          <w:b/>
          <w:sz w:val="32"/>
          <w:szCs w:val="32"/>
          <w:lang w:val="en-GB" w:eastAsia="zh-CN"/>
        </w:rPr>
        <w:t>R1-</w:t>
      </w:r>
      <w:r w:rsidR="00AC0ADD" w:rsidRPr="00AC0ADD">
        <w:rPr>
          <w:rFonts w:ascii="Arial" w:eastAsia="Times New Roman" w:hAnsi="Arial" w:cs="Times New Roman"/>
          <w:b/>
          <w:sz w:val="32"/>
          <w:szCs w:val="32"/>
          <w:lang w:val="en-GB" w:eastAsia="zh-CN"/>
        </w:rPr>
        <w:t>19</w:t>
      </w:r>
      <w:r w:rsidR="00A35D21">
        <w:rPr>
          <w:rFonts w:ascii="Arial" w:eastAsia="Times New Roman" w:hAnsi="Arial" w:cs="Times New Roman"/>
          <w:b/>
          <w:sz w:val="32"/>
          <w:szCs w:val="32"/>
          <w:lang w:val="en-GB" w:eastAsia="zh-CN"/>
        </w:rPr>
        <w:t>05535</w:t>
      </w:r>
    </w:p>
    <w:p w14:paraId="1554BB00" w14:textId="2F34A419" w:rsidR="00BF55A5" w:rsidRPr="00BF55A5" w:rsidRDefault="00783CCB"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val="en-GB" w:eastAsia="zh-CN"/>
        </w:rPr>
      </w:pPr>
      <w:r>
        <w:rPr>
          <w:rFonts w:ascii="Arial" w:eastAsia="Times New Roman" w:hAnsi="Arial" w:cs="Times New Roman"/>
          <w:b/>
          <w:sz w:val="24"/>
          <w:szCs w:val="20"/>
          <w:lang w:val="en-GB" w:eastAsia="zh-CN"/>
        </w:rPr>
        <w:t>Xi’an, China</w:t>
      </w:r>
      <w:r w:rsidR="00BF55A5" w:rsidRPr="00BF55A5">
        <w:rPr>
          <w:rFonts w:ascii="Arial" w:eastAsia="Times New Roman" w:hAnsi="Arial" w:cs="Times New Roman"/>
          <w:b/>
          <w:sz w:val="24"/>
          <w:szCs w:val="20"/>
          <w:lang w:val="en-GB" w:eastAsia="zh-CN"/>
        </w:rPr>
        <w:t>,</w:t>
      </w:r>
      <w:r w:rsidR="00590780">
        <w:rPr>
          <w:rFonts w:ascii="Arial" w:eastAsia="Times New Roman" w:hAnsi="Arial" w:cs="Times New Roman"/>
          <w:b/>
          <w:sz w:val="24"/>
          <w:szCs w:val="20"/>
          <w:lang w:val="en-GB" w:eastAsia="zh-CN"/>
        </w:rPr>
        <w:t xml:space="preserve"> </w:t>
      </w:r>
      <w:r>
        <w:rPr>
          <w:rFonts w:ascii="Arial" w:eastAsia="Times New Roman" w:hAnsi="Arial" w:cs="Times New Roman"/>
          <w:b/>
          <w:sz w:val="24"/>
          <w:szCs w:val="20"/>
          <w:lang w:val="en-GB" w:eastAsia="zh-CN"/>
        </w:rPr>
        <w:t>8</w:t>
      </w:r>
      <w:r w:rsidRPr="00783CCB">
        <w:rPr>
          <w:rFonts w:ascii="Arial" w:eastAsia="Times New Roman" w:hAnsi="Arial" w:cs="Times New Roman"/>
          <w:b/>
          <w:sz w:val="24"/>
          <w:szCs w:val="20"/>
          <w:vertAlign w:val="superscript"/>
          <w:lang w:val="en-GB" w:eastAsia="zh-CN"/>
        </w:rPr>
        <w:t>th</w:t>
      </w:r>
      <w:r>
        <w:rPr>
          <w:rFonts w:ascii="Arial" w:eastAsia="Times New Roman" w:hAnsi="Arial" w:cs="Times New Roman"/>
          <w:b/>
          <w:sz w:val="24"/>
          <w:szCs w:val="20"/>
          <w:lang w:val="en-GB" w:eastAsia="zh-CN"/>
        </w:rPr>
        <w:t xml:space="preserve"> – 12</w:t>
      </w:r>
      <w:r w:rsidRPr="00783CCB">
        <w:rPr>
          <w:rFonts w:ascii="Arial" w:eastAsia="Times New Roman" w:hAnsi="Arial" w:cs="Times New Roman"/>
          <w:b/>
          <w:sz w:val="24"/>
          <w:szCs w:val="20"/>
          <w:vertAlign w:val="superscript"/>
          <w:lang w:val="en-GB" w:eastAsia="zh-CN"/>
        </w:rPr>
        <w:t>th</w:t>
      </w:r>
      <w:r>
        <w:rPr>
          <w:rFonts w:ascii="Arial" w:eastAsia="Times New Roman" w:hAnsi="Arial" w:cs="Times New Roman"/>
          <w:b/>
          <w:sz w:val="24"/>
          <w:szCs w:val="20"/>
          <w:lang w:val="en-GB" w:eastAsia="zh-CN"/>
        </w:rPr>
        <w:t xml:space="preserve"> April</w:t>
      </w:r>
      <w:r w:rsidR="00BF55A5" w:rsidRPr="00BF55A5">
        <w:rPr>
          <w:rFonts w:ascii="Arial" w:eastAsia="Times New Roman" w:hAnsi="Arial" w:cs="Times New Roman"/>
          <w:b/>
          <w:sz w:val="24"/>
          <w:szCs w:val="20"/>
          <w:lang w:val="en-GB" w:eastAsia="zh-CN"/>
        </w:rPr>
        <w:t xml:space="preserve"> 201</w:t>
      </w:r>
      <w:r w:rsidR="00150516">
        <w:rPr>
          <w:rFonts w:ascii="Arial" w:eastAsia="Times New Roman" w:hAnsi="Arial" w:cs="Times New Roman"/>
          <w:b/>
          <w:sz w:val="24"/>
          <w:szCs w:val="20"/>
          <w:lang w:val="en-GB" w:eastAsia="zh-CN"/>
        </w:rPr>
        <w:t>9</w:t>
      </w:r>
    </w:p>
    <w:p w14:paraId="6E96A911" w14:textId="77777777" w:rsidR="00BF55A5" w:rsidRPr="00BF55A5"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val="en-GB" w:eastAsia="zh-CN"/>
        </w:rPr>
      </w:pPr>
    </w:p>
    <w:p w14:paraId="24E0E89D" w14:textId="77777777" w:rsidR="00BF55A5" w:rsidRPr="00BF55A5"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eastAsia="zh-CN"/>
        </w:rPr>
      </w:pPr>
      <w:r w:rsidRPr="00BF55A5">
        <w:rPr>
          <w:rFonts w:ascii="Arial" w:eastAsia="Times New Roman" w:hAnsi="Arial" w:cs="Times New Roman"/>
          <w:b/>
          <w:lang w:eastAsia="zh-CN"/>
        </w:rPr>
        <w:t>Agenda Item:</w:t>
      </w:r>
      <w:r w:rsidRPr="00BF55A5">
        <w:rPr>
          <w:rFonts w:ascii="Arial" w:eastAsia="Times New Roman" w:hAnsi="Arial" w:cs="Times New Roman"/>
          <w:b/>
          <w:lang w:eastAsia="zh-CN"/>
        </w:rPr>
        <w:tab/>
      </w:r>
      <w:r w:rsidRPr="00BF55A5">
        <w:rPr>
          <w:rFonts w:ascii="Arial" w:eastAsia="Times New Roman" w:hAnsi="Arial" w:cs="Times New Roman"/>
          <w:b/>
          <w:szCs w:val="18"/>
          <w:lang w:val="en-GB" w:eastAsia="zh-CN"/>
        </w:rPr>
        <w:t>6.2.1.4</w:t>
      </w:r>
    </w:p>
    <w:p w14:paraId="63489730" w14:textId="77777777" w:rsidR="00BF55A5" w:rsidRPr="00BF55A5"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val="en-GB" w:eastAsia="zh-CN"/>
        </w:rPr>
      </w:pPr>
      <w:r w:rsidRPr="00BF55A5">
        <w:rPr>
          <w:rFonts w:ascii="Arial" w:eastAsia="Times New Roman" w:hAnsi="Arial" w:cs="Times New Roman"/>
          <w:b/>
          <w:lang w:val="en-GB" w:eastAsia="zh-CN"/>
        </w:rPr>
        <w:t>Source:</w:t>
      </w:r>
      <w:r w:rsidRPr="00BF55A5">
        <w:rPr>
          <w:rFonts w:ascii="Arial" w:eastAsia="Times New Roman" w:hAnsi="Arial" w:cs="Times New Roman"/>
          <w:b/>
          <w:lang w:val="en-GB" w:eastAsia="zh-CN"/>
        </w:rPr>
        <w:tab/>
        <w:t>Ericsson</w:t>
      </w:r>
    </w:p>
    <w:p w14:paraId="74921BC3" w14:textId="31E2F76D" w:rsidR="00531537" w:rsidRPr="00C148F9" w:rsidRDefault="00531537" w:rsidP="00531537">
      <w:pPr>
        <w:pStyle w:val="3GPPHeader"/>
        <w:rPr>
          <w:rFonts w:ascii="Arial" w:hAnsi="Arial" w:cs="Arial"/>
          <w:sz w:val="22"/>
        </w:rPr>
      </w:pPr>
      <w:r w:rsidRPr="00C148F9">
        <w:rPr>
          <w:rFonts w:ascii="Arial" w:hAnsi="Arial" w:cs="Arial"/>
          <w:sz w:val="22"/>
        </w:rPr>
        <w:t>Title:</w:t>
      </w:r>
      <w:r w:rsidRPr="00C148F9">
        <w:rPr>
          <w:rFonts w:ascii="Arial" w:hAnsi="Arial" w:cs="Arial"/>
          <w:sz w:val="22"/>
        </w:rPr>
        <w:tab/>
        <w:t xml:space="preserve">Feature </w:t>
      </w:r>
      <w:r w:rsidR="008138B3" w:rsidRPr="00C148F9">
        <w:rPr>
          <w:rFonts w:ascii="Arial" w:hAnsi="Arial" w:cs="Arial"/>
          <w:sz w:val="22"/>
        </w:rPr>
        <w:t xml:space="preserve">lead </w:t>
      </w:r>
      <w:r w:rsidRPr="00C148F9">
        <w:rPr>
          <w:rFonts w:ascii="Arial" w:hAnsi="Arial" w:cs="Arial"/>
          <w:sz w:val="22"/>
        </w:rPr>
        <w:t xml:space="preserve">summary </w:t>
      </w:r>
      <w:r w:rsidR="008138B3" w:rsidRPr="00C148F9">
        <w:rPr>
          <w:rFonts w:ascii="Arial" w:hAnsi="Arial" w:cs="Arial"/>
          <w:sz w:val="22"/>
        </w:rPr>
        <w:t>for</w:t>
      </w:r>
      <w:r w:rsidRPr="00C148F9">
        <w:rPr>
          <w:rFonts w:ascii="Arial" w:hAnsi="Arial" w:cs="Arial"/>
          <w:sz w:val="22"/>
        </w:rPr>
        <w:t xml:space="preserve"> </w:t>
      </w:r>
      <w:r w:rsidR="008138B3" w:rsidRPr="00C148F9">
        <w:rPr>
          <w:rFonts w:ascii="Arial" w:hAnsi="Arial" w:cs="Arial"/>
          <w:sz w:val="22"/>
        </w:rPr>
        <w:t>C</w:t>
      </w:r>
      <w:r w:rsidR="00A519D5" w:rsidRPr="00C148F9">
        <w:rPr>
          <w:rFonts w:ascii="Arial" w:hAnsi="Arial" w:cs="Arial"/>
          <w:sz w:val="22"/>
        </w:rPr>
        <w:t xml:space="preserve">oexistence of </w:t>
      </w:r>
      <w:r w:rsidR="00B714D6" w:rsidRPr="00C148F9">
        <w:rPr>
          <w:rFonts w:ascii="Arial" w:hAnsi="Arial" w:cs="Arial"/>
          <w:sz w:val="22"/>
        </w:rPr>
        <w:t>LTE-MTC</w:t>
      </w:r>
      <w:r w:rsidR="00A519D5" w:rsidRPr="00C148F9">
        <w:rPr>
          <w:rFonts w:ascii="Arial" w:hAnsi="Arial" w:cs="Arial"/>
          <w:sz w:val="22"/>
        </w:rPr>
        <w:t xml:space="preserve"> with NR</w:t>
      </w:r>
    </w:p>
    <w:p w14:paraId="243FEC2C" w14:textId="77777777" w:rsidR="00531537" w:rsidRPr="00C148F9" w:rsidRDefault="00531537" w:rsidP="00531537">
      <w:pPr>
        <w:pStyle w:val="3GPPHeader"/>
        <w:rPr>
          <w:rFonts w:ascii="Arial" w:hAnsi="Arial" w:cs="Arial"/>
          <w:sz w:val="22"/>
        </w:rPr>
      </w:pPr>
      <w:r w:rsidRPr="00C148F9">
        <w:rPr>
          <w:rFonts w:ascii="Arial" w:hAnsi="Arial" w:cs="Arial"/>
          <w:sz w:val="22"/>
        </w:rPr>
        <w:t>Document for:</w:t>
      </w:r>
      <w:r w:rsidRPr="00C148F9">
        <w:rPr>
          <w:rFonts w:ascii="Arial" w:hAnsi="Arial" w:cs="Arial"/>
          <w:sz w:val="22"/>
        </w:rPr>
        <w:tab/>
        <w:t>Discussion and Decision</w:t>
      </w:r>
    </w:p>
    <w:p w14:paraId="43540FDA" w14:textId="77777777" w:rsidR="00531537" w:rsidRDefault="00531537" w:rsidP="00C17A6B">
      <w:pPr>
        <w:pStyle w:val="Heading1"/>
        <w:numPr>
          <w:ilvl w:val="0"/>
          <w:numId w:val="12"/>
        </w:numPr>
        <w:jc w:val="both"/>
        <w:textAlignment w:val="auto"/>
        <w:rPr>
          <w:lang w:val="en-US"/>
        </w:rPr>
      </w:pPr>
      <w:r>
        <w:rPr>
          <w:lang w:val="en-US"/>
        </w:rPr>
        <w:t>Introduction</w:t>
      </w:r>
    </w:p>
    <w:p w14:paraId="67412C36" w14:textId="1A985DEE" w:rsidR="0088189C" w:rsidRDefault="002C6937" w:rsidP="008903C6">
      <w:pPr>
        <w:pStyle w:val="BodyText"/>
        <w:rPr>
          <w:rFonts w:ascii="Arial" w:hAnsi="Arial" w:cs="Arial"/>
          <w:sz w:val="20"/>
        </w:rPr>
      </w:pPr>
      <w:r w:rsidRPr="007C2B1D">
        <w:rPr>
          <w:rFonts w:ascii="Arial" w:hAnsi="Arial" w:cs="Arial"/>
          <w:sz w:val="20"/>
        </w:rPr>
        <w:t xml:space="preserve">In the </w:t>
      </w:r>
      <w:r w:rsidR="007F30D2">
        <w:rPr>
          <w:rFonts w:ascii="Arial" w:hAnsi="Arial" w:cs="Arial"/>
          <w:sz w:val="20"/>
        </w:rPr>
        <w:t xml:space="preserve">Rel-16 </w:t>
      </w:r>
      <w:r w:rsidRPr="007C2B1D">
        <w:rPr>
          <w:rFonts w:ascii="Arial" w:hAnsi="Arial" w:cs="Arial"/>
          <w:sz w:val="20"/>
        </w:rPr>
        <w:t xml:space="preserve">work item on “Additional MTC enhancements for LTE” </w:t>
      </w:r>
      <w:r w:rsidR="00A72A8E">
        <w:rPr>
          <w:rFonts w:ascii="Arial" w:hAnsi="Arial" w:cs="Arial"/>
          <w:sz w:val="20"/>
        </w:rPr>
        <w:fldChar w:fldCharType="begin"/>
      </w:r>
      <w:r w:rsidR="00A72A8E">
        <w:rPr>
          <w:rFonts w:ascii="Arial" w:hAnsi="Arial" w:cs="Arial"/>
          <w:sz w:val="20"/>
        </w:rPr>
        <w:instrText xml:space="preserve"> REF _Ref189809556 \r \h </w:instrText>
      </w:r>
      <w:r w:rsidR="00A72A8E">
        <w:rPr>
          <w:rFonts w:ascii="Arial" w:hAnsi="Arial" w:cs="Arial"/>
          <w:sz w:val="20"/>
        </w:rPr>
      </w:r>
      <w:r w:rsidR="00A72A8E">
        <w:rPr>
          <w:rFonts w:ascii="Arial" w:hAnsi="Arial" w:cs="Arial"/>
          <w:sz w:val="20"/>
        </w:rPr>
        <w:fldChar w:fldCharType="separate"/>
      </w:r>
      <w:r w:rsidR="00AD0CF0">
        <w:rPr>
          <w:rFonts w:ascii="Arial" w:hAnsi="Arial" w:cs="Arial"/>
          <w:sz w:val="20"/>
        </w:rPr>
        <w:t>[1]</w:t>
      </w:r>
      <w:r w:rsidR="00A72A8E">
        <w:rPr>
          <w:rFonts w:ascii="Arial" w:hAnsi="Arial" w:cs="Arial"/>
          <w:sz w:val="20"/>
        </w:rPr>
        <w:fldChar w:fldCharType="end"/>
      </w:r>
      <w:r w:rsidR="007F30D2">
        <w:rPr>
          <w:rFonts w:ascii="Arial" w:hAnsi="Arial" w:cs="Arial"/>
          <w:sz w:val="20"/>
        </w:rPr>
        <w:t>,</w:t>
      </w:r>
      <w:r w:rsidR="00A72A8E">
        <w:rPr>
          <w:rFonts w:ascii="Arial" w:hAnsi="Arial" w:cs="Arial"/>
          <w:sz w:val="20"/>
        </w:rPr>
        <w:t xml:space="preserve"> </w:t>
      </w:r>
      <w:r w:rsidRPr="007C2B1D">
        <w:rPr>
          <w:rFonts w:ascii="Arial" w:hAnsi="Arial" w:cs="Arial"/>
          <w:sz w:val="20"/>
        </w:rPr>
        <w:t>one of the objectives is to study</w:t>
      </w:r>
      <w:r w:rsidR="00186D0B">
        <w:rPr>
          <w:rFonts w:ascii="Arial" w:hAnsi="Arial" w:cs="Arial"/>
          <w:sz w:val="20"/>
        </w:rPr>
        <w:t xml:space="preserve"> aspects of LTE-MTC coexistence with</w:t>
      </w:r>
      <w:r w:rsidRPr="007C2B1D">
        <w:rPr>
          <w:rFonts w:ascii="Arial" w:hAnsi="Arial" w:cs="Arial"/>
          <w:sz w:val="20"/>
        </w:rPr>
        <w:t xml:space="preserve"> NR.</w:t>
      </w:r>
    </w:p>
    <w:tbl>
      <w:tblPr>
        <w:tblStyle w:val="TableGrid"/>
        <w:tblW w:w="0" w:type="auto"/>
        <w:tblLook w:val="04A0" w:firstRow="1" w:lastRow="0" w:firstColumn="1" w:lastColumn="0" w:noHBand="0" w:noVBand="1"/>
      </w:tblPr>
      <w:tblGrid>
        <w:gridCol w:w="9629"/>
      </w:tblGrid>
      <w:tr w:rsidR="005E3AB9" w14:paraId="156963A3" w14:textId="77777777" w:rsidTr="005E3AB9">
        <w:tc>
          <w:tcPr>
            <w:tcW w:w="9629" w:type="dxa"/>
          </w:tcPr>
          <w:p w14:paraId="072018E5" w14:textId="77777777" w:rsidR="005E3AB9" w:rsidRPr="00B954A0" w:rsidRDefault="005E3AB9" w:rsidP="005E3AB9">
            <w:pPr>
              <w:overflowPunct w:val="0"/>
              <w:autoSpaceDE w:val="0"/>
              <w:autoSpaceDN w:val="0"/>
              <w:adjustRightInd w:val="0"/>
              <w:spacing w:after="0" w:line="240" w:lineRule="auto"/>
              <w:rPr>
                <w:rFonts w:ascii="Times New Roman" w:eastAsia="Times New Roman" w:hAnsi="Times New Roman" w:cs="Times New Roman"/>
                <w:b/>
                <w:bCs/>
                <w:sz w:val="20"/>
                <w:szCs w:val="20"/>
                <w:lang w:val="en-GB"/>
              </w:rPr>
            </w:pPr>
            <w:r w:rsidRPr="00B954A0">
              <w:rPr>
                <w:rFonts w:ascii="Times New Roman" w:eastAsia="Times New Roman" w:hAnsi="Times New Roman" w:cs="Times New Roman"/>
                <w:b/>
                <w:bCs/>
                <w:sz w:val="20"/>
                <w:szCs w:val="20"/>
                <w:lang w:val="en-GB"/>
              </w:rPr>
              <w:t>Coexistence with NR:</w:t>
            </w:r>
          </w:p>
          <w:p w14:paraId="7567B0E7" w14:textId="77777777" w:rsidR="005E3AB9" w:rsidRPr="00B954A0" w:rsidRDefault="005E3AB9" w:rsidP="005E3AB9">
            <w:pPr>
              <w:numPr>
                <w:ilvl w:val="0"/>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Study aspects of LTE-MTC coexistence with NR [RAN4, RAN1, RAN2]</w:t>
            </w:r>
          </w:p>
          <w:p w14:paraId="25FA7219" w14:textId="77777777" w:rsidR="005E3AB9" w:rsidRPr="00B954A0" w:rsidRDefault="005E3AB9" w:rsidP="005E3AB9">
            <w:pPr>
              <w:numPr>
                <w:ilvl w:val="0"/>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For LTE-MTC in-band operation co-existence with NR, RAN4 will investigate the following:</w:t>
            </w:r>
          </w:p>
          <w:p w14:paraId="13F7FD61"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15 kHz, 30 kHz, and 60 kHz numerologies for NR FR1 bands, with higher priority given first to 15 kHz and then to 30 kHz</w:t>
            </w:r>
          </w:p>
          <w:p w14:paraId="2BC032FA"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Study feasible LTE-MTC placement allocation without RF backward compatibility impact and compatible with Rel-13 LTE-MTC and Rel-15 NR, to operate simultaneously within various NR channel bandwidths</w:t>
            </w:r>
          </w:p>
          <w:p w14:paraId="07707844"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Channel raster, PRB and subcarrier grid alignment between LTE-MTC and NR</w:t>
            </w:r>
          </w:p>
          <w:p w14:paraId="00C27B35"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Synchronization issue between LTE-MTC and NR, including timing advance</w:t>
            </w:r>
          </w:p>
          <w:p w14:paraId="3FFD6410"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Frequency band support in LTE-MTC and NR</w:t>
            </w:r>
          </w:p>
          <w:p w14:paraId="76F4A269"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Testability applicability</w:t>
            </w:r>
          </w:p>
          <w:p w14:paraId="22079154"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Compatibility for Rel-15 NR and Rel-13/14/15 LTE-MTC</w:t>
            </w:r>
          </w:p>
          <w:p w14:paraId="175F0EAC"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The case of NR configured with 15 kHz SS block SCS and the case of 30 kHz SS block SCS as specified in 38.101-1 are included in the study.</w:t>
            </w:r>
          </w:p>
          <w:p w14:paraId="4785FEAB" w14:textId="77777777" w:rsidR="005E3AB9" w:rsidRDefault="005E3AB9" w:rsidP="005E3AB9">
            <w:pPr>
              <w:overflowPunct w:val="0"/>
              <w:autoSpaceDE w:val="0"/>
              <w:autoSpaceDN w:val="0"/>
              <w:adjustRightInd w:val="0"/>
              <w:spacing w:after="0" w:line="240" w:lineRule="auto"/>
              <w:ind w:left="720"/>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Note: After RAN1 concludes the objective on R16 LTE-MTC coexistence aspects, evaluate coexistence between R15 NR and R16 LTE-MTC.</w:t>
            </w:r>
          </w:p>
          <w:p w14:paraId="723FD208" w14:textId="098B7EA4" w:rsidR="005E3AB9" w:rsidRPr="005E3AB9" w:rsidRDefault="005E3AB9" w:rsidP="005E3AB9">
            <w:p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p>
        </w:tc>
      </w:tr>
    </w:tbl>
    <w:p w14:paraId="27215C9E" w14:textId="77777777" w:rsidR="00B954A0" w:rsidRPr="007C2B1D" w:rsidRDefault="00B954A0" w:rsidP="008903C6">
      <w:pPr>
        <w:pStyle w:val="BodyText"/>
        <w:rPr>
          <w:rFonts w:ascii="Arial" w:hAnsi="Arial" w:cs="Arial"/>
          <w:sz w:val="20"/>
        </w:rPr>
      </w:pPr>
    </w:p>
    <w:p w14:paraId="1FBC3760" w14:textId="2873D313" w:rsidR="00AD0CF0" w:rsidRDefault="00531537" w:rsidP="008903C6">
      <w:pPr>
        <w:pStyle w:val="BodyText"/>
        <w:rPr>
          <w:rFonts w:ascii="Arial" w:hAnsi="Arial" w:cs="Arial"/>
          <w:sz w:val="20"/>
          <w:szCs w:val="20"/>
        </w:rPr>
      </w:pPr>
      <w:r w:rsidRPr="007C2B1D">
        <w:rPr>
          <w:rFonts w:ascii="Arial" w:hAnsi="Arial" w:cs="Arial"/>
          <w:sz w:val="20"/>
          <w:szCs w:val="20"/>
        </w:rPr>
        <w:t xml:space="preserve">This </w:t>
      </w:r>
      <w:r w:rsidR="003852F0" w:rsidRPr="007C2B1D">
        <w:rPr>
          <w:rFonts w:ascii="Arial" w:hAnsi="Arial" w:cs="Arial"/>
          <w:sz w:val="20"/>
          <w:szCs w:val="20"/>
        </w:rPr>
        <w:t xml:space="preserve">document </w:t>
      </w:r>
      <w:r w:rsidR="00F7216C">
        <w:rPr>
          <w:rFonts w:ascii="Arial" w:hAnsi="Arial" w:cs="Arial"/>
          <w:sz w:val="20"/>
          <w:szCs w:val="20"/>
        </w:rPr>
        <w:t xml:space="preserve">provides </w:t>
      </w:r>
      <w:r w:rsidR="00041DF6">
        <w:rPr>
          <w:rFonts w:ascii="Arial" w:hAnsi="Arial" w:cs="Arial"/>
          <w:sz w:val="20"/>
          <w:szCs w:val="20"/>
        </w:rPr>
        <w:t xml:space="preserve">a summary </w:t>
      </w:r>
      <w:r w:rsidR="00F7216C">
        <w:rPr>
          <w:rFonts w:ascii="Arial" w:hAnsi="Arial" w:cs="Arial"/>
          <w:sz w:val="20"/>
          <w:szCs w:val="20"/>
        </w:rPr>
        <w:t xml:space="preserve">and recommendations based on </w:t>
      </w:r>
      <w:r w:rsidR="00041DF6">
        <w:rPr>
          <w:rFonts w:ascii="Arial" w:hAnsi="Arial" w:cs="Arial"/>
          <w:sz w:val="20"/>
          <w:szCs w:val="20"/>
        </w:rPr>
        <w:t xml:space="preserve">contributions in </w:t>
      </w:r>
      <w:bookmarkStart w:id="0" w:name="_Ref178064866"/>
      <w:bookmarkStart w:id="1" w:name="_In-sequence_SDU_delivery"/>
      <w:bookmarkEnd w:id="0"/>
      <w:bookmarkEnd w:id="1"/>
      <w:r w:rsidR="00F9591A">
        <w:rPr>
          <w:rFonts w:ascii="Arial" w:hAnsi="Arial" w:cs="Arial"/>
          <w:sz w:val="20"/>
          <w:szCs w:val="20"/>
        </w:rPr>
        <w:fldChar w:fldCharType="begin"/>
      </w:r>
      <w:r w:rsidR="00F9591A">
        <w:rPr>
          <w:rFonts w:ascii="Arial" w:hAnsi="Arial" w:cs="Arial"/>
          <w:sz w:val="20"/>
          <w:szCs w:val="20"/>
        </w:rPr>
        <w:instrText xml:space="preserve"> REF _Ref529801413 \r \h </w:instrText>
      </w:r>
      <w:r w:rsidR="00F9591A">
        <w:rPr>
          <w:rFonts w:ascii="Arial" w:hAnsi="Arial" w:cs="Arial"/>
          <w:sz w:val="20"/>
          <w:szCs w:val="20"/>
        </w:rPr>
      </w:r>
      <w:r w:rsidR="00F9591A">
        <w:rPr>
          <w:rFonts w:ascii="Arial" w:hAnsi="Arial" w:cs="Arial"/>
          <w:sz w:val="20"/>
          <w:szCs w:val="20"/>
        </w:rPr>
        <w:fldChar w:fldCharType="separate"/>
      </w:r>
      <w:r w:rsidR="00AD0CF0">
        <w:rPr>
          <w:rFonts w:ascii="Arial" w:hAnsi="Arial" w:cs="Arial"/>
          <w:sz w:val="20"/>
          <w:szCs w:val="20"/>
        </w:rPr>
        <w:t>[2]</w:t>
      </w:r>
      <w:r w:rsidR="00F9591A">
        <w:rPr>
          <w:rFonts w:ascii="Arial" w:hAnsi="Arial" w:cs="Arial"/>
          <w:sz w:val="20"/>
          <w:szCs w:val="20"/>
        </w:rPr>
        <w:fldChar w:fldCharType="end"/>
      </w:r>
      <w:r w:rsidR="00F9591A">
        <w:rPr>
          <w:rFonts w:ascii="Arial" w:hAnsi="Arial" w:cs="Arial"/>
          <w:sz w:val="20"/>
          <w:szCs w:val="20"/>
        </w:rPr>
        <w:t>-</w:t>
      </w:r>
      <w:r w:rsidR="00041DF6">
        <w:rPr>
          <w:rFonts w:ascii="Arial" w:hAnsi="Arial" w:cs="Arial"/>
          <w:sz w:val="20"/>
          <w:szCs w:val="20"/>
        </w:rPr>
        <w:fldChar w:fldCharType="begin"/>
      </w:r>
      <w:r w:rsidR="00041DF6">
        <w:rPr>
          <w:rFonts w:ascii="Arial" w:hAnsi="Arial" w:cs="Arial"/>
          <w:sz w:val="20"/>
          <w:szCs w:val="20"/>
        </w:rPr>
        <w:instrText xml:space="preserve"> REF _Ref5044500 \r \h </w:instrText>
      </w:r>
      <w:r w:rsidR="00041DF6">
        <w:rPr>
          <w:rFonts w:ascii="Arial" w:hAnsi="Arial" w:cs="Arial"/>
          <w:sz w:val="20"/>
          <w:szCs w:val="20"/>
        </w:rPr>
      </w:r>
      <w:r w:rsidR="00041DF6">
        <w:rPr>
          <w:rFonts w:ascii="Arial" w:hAnsi="Arial" w:cs="Arial"/>
          <w:sz w:val="20"/>
          <w:szCs w:val="20"/>
        </w:rPr>
        <w:fldChar w:fldCharType="separate"/>
      </w:r>
      <w:r w:rsidR="00AD0CF0">
        <w:rPr>
          <w:rFonts w:ascii="Arial" w:hAnsi="Arial" w:cs="Arial"/>
          <w:sz w:val="20"/>
          <w:szCs w:val="20"/>
        </w:rPr>
        <w:t>[7]</w:t>
      </w:r>
      <w:r w:rsidR="00041DF6">
        <w:rPr>
          <w:rFonts w:ascii="Arial" w:hAnsi="Arial" w:cs="Arial"/>
          <w:sz w:val="20"/>
          <w:szCs w:val="20"/>
        </w:rPr>
        <w:fldChar w:fldCharType="end"/>
      </w:r>
      <w:r w:rsidR="00F9591A">
        <w:rPr>
          <w:rFonts w:ascii="Arial" w:hAnsi="Arial" w:cs="Arial"/>
          <w:sz w:val="20"/>
          <w:szCs w:val="20"/>
        </w:rPr>
        <w:t>.</w:t>
      </w:r>
      <w:r w:rsidR="00AD0CF0">
        <w:rPr>
          <w:rFonts w:ascii="Arial" w:hAnsi="Arial" w:cs="Arial"/>
          <w:sz w:val="20"/>
          <w:szCs w:val="20"/>
        </w:rPr>
        <w:t xml:space="preserve"> Earlier RAN1 agreements are listed in the end of this document.</w:t>
      </w:r>
    </w:p>
    <w:p w14:paraId="5EA82E01" w14:textId="40735E2D" w:rsidR="00C90779" w:rsidRDefault="00C90779">
      <w:pPr>
        <w:spacing w:after="0" w:line="240" w:lineRule="auto"/>
        <w:rPr>
          <w:rFonts w:ascii="Arial" w:hAnsi="Arial" w:cs="Arial"/>
          <w:sz w:val="20"/>
          <w:szCs w:val="20"/>
        </w:rPr>
      </w:pPr>
    </w:p>
    <w:p w14:paraId="68431D7C" w14:textId="2920A891" w:rsidR="007A41DE" w:rsidRPr="007A41DE" w:rsidRDefault="00364032" w:rsidP="007A41DE">
      <w:pPr>
        <w:pStyle w:val="Heading1"/>
      </w:pPr>
      <w:r>
        <w:t>Improved r</w:t>
      </w:r>
      <w:r w:rsidR="00AB7269">
        <w:t>esource</w:t>
      </w:r>
      <w:r w:rsidR="007A41DE">
        <w:t xml:space="preserve"> block alignment</w:t>
      </w:r>
    </w:p>
    <w:p w14:paraId="48F21259" w14:textId="562058E7" w:rsidR="00435125" w:rsidRDefault="00A001FE" w:rsidP="00435125">
      <w:pPr>
        <w:pStyle w:val="Heading2"/>
      </w:pPr>
      <w:r>
        <w:t>Considerations on</w:t>
      </w:r>
      <w:r w:rsidR="00435125">
        <w:t xml:space="preserve"> resource block alignment</w:t>
      </w:r>
    </w:p>
    <w:p w14:paraId="77DA06E6" w14:textId="361B9CEC" w:rsidR="005745AE" w:rsidRDefault="00246EF1" w:rsidP="005745AE">
      <w:pPr>
        <w:pStyle w:val="BodyText"/>
        <w:rPr>
          <w:rFonts w:ascii="Arial" w:hAnsi="Arial" w:cs="Arial"/>
          <w:sz w:val="20"/>
        </w:rPr>
      </w:pPr>
      <w:r>
        <w:rPr>
          <w:rFonts w:ascii="Arial" w:hAnsi="Arial" w:cs="Arial"/>
          <w:sz w:val="20"/>
        </w:rPr>
        <w:t xml:space="preserve">The contributions listed in the table below </w:t>
      </w:r>
      <w:r w:rsidR="00BB2E70">
        <w:rPr>
          <w:rFonts w:ascii="Arial" w:hAnsi="Arial" w:cs="Arial"/>
          <w:sz w:val="20"/>
        </w:rPr>
        <w:t xml:space="preserve">observe that </w:t>
      </w:r>
      <w:r w:rsidR="00EC0685">
        <w:rPr>
          <w:rFonts w:ascii="Arial" w:hAnsi="Arial" w:cs="Arial"/>
          <w:sz w:val="20"/>
        </w:rPr>
        <w:t xml:space="preserve">improved </w:t>
      </w:r>
      <w:r w:rsidR="00BB2E70">
        <w:rPr>
          <w:rFonts w:ascii="Arial" w:hAnsi="Arial" w:cs="Arial"/>
          <w:sz w:val="20"/>
        </w:rPr>
        <w:t>resource block alignment can bring gains in terms of resource utilization</w:t>
      </w:r>
      <w:r w:rsidR="00C83AC7">
        <w:rPr>
          <w:rFonts w:ascii="Arial" w:hAnsi="Arial" w:cs="Arial"/>
          <w:sz w:val="20"/>
        </w:rPr>
        <w:t xml:space="preserve"> (</w:t>
      </w:r>
      <w:r w:rsidR="00BB2E70">
        <w:rPr>
          <w:rFonts w:ascii="Arial" w:hAnsi="Arial" w:cs="Arial"/>
          <w:sz w:val="20"/>
        </w:rPr>
        <w:t xml:space="preserve">although there </w:t>
      </w:r>
      <w:r w:rsidR="005A2DFD">
        <w:rPr>
          <w:rFonts w:ascii="Arial" w:hAnsi="Arial" w:cs="Arial"/>
          <w:sz w:val="20"/>
        </w:rPr>
        <w:t>may be</w:t>
      </w:r>
      <w:r w:rsidR="00BB2E70">
        <w:rPr>
          <w:rFonts w:ascii="Arial" w:hAnsi="Arial" w:cs="Arial"/>
          <w:sz w:val="20"/>
        </w:rPr>
        <w:t xml:space="preserve"> different views on how significant these gains may be</w:t>
      </w:r>
      <w:r w:rsidR="00C83AC7">
        <w:rPr>
          <w:rFonts w:ascii="Arial" w:hAnsi="Arial" w:cs="Arial"/>
          <w:sz w:val="20"/>
        </w:rPr>
        <w:t>)</w:t>
      </w:r>
      <w:r w:rsidR="00BB2E70">
        <w:rPr>
          <w:rFonts w:ascii="Arial" w:hAnsi="Arial" w:cs="Arial"/>
          <w:sz w:val="20"/>
        </w:rPr>
        <w:t>.</w:t>
      </w:r>
    </w:p>
    <w:tbl>
      <w:tblPr>
        <w:tblStyle w:val="TableGrid"/>
        <w:tblW w:w="0" w:type="auto"/>
        <w:tblLook w:val="04A0" w:firstRow="1" w:lastRow="0" w:firstColumn="1" w:lastColumn="0" w:noHBand="0" w:noVBand="1"/>
      </w:tblPr>
      <w:tblGrid>
        <w:gridCol w:w="2122"/>
        <w:gridCol w:w="7507"/>
      </w:tblGrid>
      <w:tr w:rsidR="0076022E" w:rsidRPr="008A1717" w14:paraId="67E6F8FD" w14:textId="77777777" w:rsidTr="00F04697">
        <w:tc>
          <w:tcPr>
            <w:tcW w:w="2122" w:type="dxa"/>
          </w:tcPr>
          <w:p w14:paraId="7F4FDB4D"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_Ref1595240 \r \h  \* MERGEFORMAT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[2]</w:t>
            </w:r>
            <w:r>
              <w:rPr>
                <w:rFonts w:ascii="Arial" w:hAnsi="Arial" w:cs="Arial"/>
                <w:b/>
                <w:sz w:val="20"/>
                <w:lang w:val="en-GB" w:eastAsia="zh-CN"/>
              </w:rPr>
              <w:fldChar w:fldCharType="end"/>
            </w:r>
            <w:r>
              <w:rPr>
                <w:rFonts w:ascii="Arial" w:hAnsi="Arial" w:cs="Arial"/>
                <w:b/>
                <w:sz w:val="20"/>
                <w:lang w:val="en-GB" w:eastAsia="zh-CN"/>
              </w:rPr>
              <w:t xml:space="preserve"> Ericsson</w:t>
            </w:r>
          </w:p>
        </w:tc>
        <w:tc>
          <w:tcPr>
            <w:tcW w:w="7507" w:type="dxa"/>
          </w:tcPr>
          <w:p w14:paraId="65F9D594" w14:textId="3B305FFC" w:rsidR="00D61010" w:rsidRPr="00D61010" w:rsidRDefault="00D61010" w:rsidP="00D61010">
            <w:pPr>
              <w:rPr>
                <w:rFonts w:ascii="Arial" w:hAnsi="Arial" w:cs="Arial"/>
                <w:sz w:val="20"/>
                <w:lang w:val="en-GB" w:eastAsia="zh-CN"/>
              </w:rPr>
            </w:pPr>
            <w:r w:rsidRPr="00D61010">
              <w:rPr>
                <w:rFonts w:ascii="Arial" w:hAnsi="Arial" w:cs="Arial"/>
                <w:sz w:val="20"/>
                <w:lang w:val="en-GB" w:eastAsia="zh-CN"/>
              </w:rPr>
              <w:t>Observation</w:t>
            </w:r>
            <w:r>
              <w:rPr>
                <w:rFonts w:ascii="Arial" w:hAnsi="Arial" w:cs="Arial"/>
                <w:sz w:val="20"/>
                <w:lang w:val="en-GB" w:eastAsia="zh-CN"/>
              </w:rPr>
              <w:t xml:space="preserve">: </w:t>
            </w:r>
            <w:r w:rsidRPr="00D61010">
              <w:rPr>
                <w:rFonts w:ascii="Arial" w:hAnsi="Arial" w:cs="Arial"/>
                <w:sz w:val="20"/>
                <w:lang w:val="en-GB" w:eastAsia="zh-CN"/>
              </w:rPr>
              <w:t>Subcarrier grid alignment, LTE-M channel raster requirement, and the ability to transmit the NR SSB limit the feasible combinations of LTE-M and NR channel bandwidths.</w:t>
            </w:r>
          </w:p>
          <w:p w14:paraId="6048662B" w14:textId="5ED115DB" w:rsidR="00357E61" w:rsidRDefault="00D61010" w:rsidP="00D61010">
            <w:pPr>
              <w:rPr>
                <w:rFonts w:ascii="Arial" w:hAnsi="Arial" w:cs="Arial"/>
                <w:sz w:val="20"/>
                <w:lang w:val="en-GB" w:eastAsia="zh-CN"/>
              </w:rPr>
            </w:pPr>
            <w:r w:rsidRPr="00D61010">
              <w:rPr>
                <w:rFonts w:ascii="Arial" w:hAnsi="Arial" w:cs="Arial"/>
                <w:sz w:val="20"/>
                <w:lang w:val="en-GB" w:eastAsia="zh-CN"/>
              </w:rPr>
              <w:t>Observation</w:t>
            </w:r>
            <w:r>
              <w:rPr>
                <w:rFonts w:ascii="Arial" w:hAnsi="Arial" w:cs="Arial"/>
                <w:sz w:val="20"/>
                <w:lang w:val="en-GB" w:eastAsia="zh-CN"/>
              </w:rPr>
              <w:t xml:space="preserve">: </w:t>
            </w:r>
            <w:r w:rsidRPr="00D61010">
              <w:rPr>
                <w:rFonts w:ascii="Arial" w:hAnsi="Arial" w:cs="Arial"/>
                <w:sz w:val="20"/>
                <w:lang w:val="en-GB" w:eastAsia="zh-CN"/>
              </w:rPr>
              <w:t xml:space="preserve">In order to avoid overlap (in frequency domain) between NR SSB and LTE-M when placing the smallest LTE-M carrier (with 6 RBs) in NR, NR </w:t>
            </w:r>
            <w:r w:rsidRPr="00D61010">
              <w:rPr>
                <w:rFonts w:ascii="Arial" w:hAnsi="Arial" w:cs="Arial"/>
                <w:sz w:val="20"/>
                <w:lang w:val="en-GB" w:eastAsia="zh-CN"/>
              </w:rPr>
              <w:lastRenderedPageBreak/>
              <w:t xml:space="preserve">channel bandwidth must be at least 10 </w:t>
            </w:r>
            <w:proofErr w:type="spellStart"/>
            <w:r w:rsidRPr="00D61010">
              <w:rPr>
                <w:rFonts w:ascii="Arial" w:hAnsi="Arial" w:cs="Arial"/>
                <w:sz w:val="20"/>
                <w:lang w:val="en-GB" w:eastAsia="zh-CN"/>
              </w:rPr>
              <w:t>MHz.</w:t>
            </w:r>
            <w:proofErr w:type="spellEnd"/>
            <w:r w:rsidRPr="00D61010">
              <w:rPr>
                <w:rFonts w:ascii="Arial" w:hAnsi="Arial" w:cs="Arial"/>
                <w:sz w:val="20"/>
                <w:lang w:val="en-GB" w:eastAsia="zh-CN"/>
              </w:rPr>
              <w:t xml:space="preserve"> In order to place the largest LTE-M carrier (with 100 RBs), NR channel bandwidth must be at least 25 </w:t>
            </w:r>
            <w:proofErr w:type="spellStart"/>
            <w:r w:rsidRPr="00D61010">
              <w:rPr>
                <w:rFonts w:ascii="Arial" w:hAnsi="Arial" w:cs="Arial"/>
                <w:sz w:val="20"/>
                <w:lang w:val="en-GB" w:eastAsia="zh-CN"/>
              </w:rPr>
              <w:t>MHz.</w:t>
            </w:r>
            <w:proofErr w:type="spellEnd"/>
          </w:p>
          <w:p w14:paraId="5484679F" w14:textId="77777777" w:rsidR="00F46C25" w:rsidRPr="000976E0" w:rsidRDefault="00F46C25" w:rsidP="00F46C25">
            <w:pPr>
              <w:rPr>
                <w:rFonts w:ascii="Arial" w:hAnsi="Arial" w:cs="Arial"/>
                <w:sz w:val="20"/>
                <w:lang w:eastAsia="zh-CN"/>
              </w:rPr>
            </w:pPr>
            <w:r w:rsidRPr="000976E0">
              <w:rPr>
                <w:rFonts w:ascii="Arial" w:hAnsi="Arial" w:cs="Arial"/>
                <w:sz w:val="20"/>
                <w:lang w:eastAsia="zh-CN"/>
              </w:rPr>
              <w:t>Observation: When deploying LTE-M inside NR with 30-kHz subcarrier spacing, it is possible to avoid interference from an NR BS on LTE-M UE by intelligent deployment of the LTE-M carrier. However, guard band will be required around the LTE-M carrier to mitigate interference from an LTE-M BS on an NR UE. The guard band can be minimized by placing LTE-M near the center of an NR RB.</w:t>
            </w:r>
          </w:p>
          <w:p w14:paraId="359D2025" w14:textId="76881D18" w:rsidR="00F46C25" w:rsidRPr="008A1717" w:rsidRDefault="00F46C25" w:rsidP="00F46C25">
            <w:pPr>
              <w:rPr>
                <w:rFonts w:ascii="Arial" w:hAnsi="Arial" w:cs="Arial"/>
                <w:sz w:val="20"/>
                <w:lang w:val="en-GB" w:eastAsia="zh-CN"/>
              </w:rPr>
            </w:pPr>
            <w:r w:rsidRPr="000B6D59">
              <w:rPr>
                <w:rFonts w:ascii="Arial" w:hAnsi="Arial" w:cs="Arial"/>
                <w:sz w:val="20"/>
                <w:lang w:val="en-GB" w:eastAsia="zh-CN"/>
              </w:rPr>
              <w:t>Observatio</w:t>
            </w:r>
            <w:r>
              <w:rPr>
                <w:rFonts w:ascii="Arial" w:hAnsi="Arial" w:cs="Arial"/>
                <w:sz w:val="20"/>
                <w:lang w:val="en-GB" w:eastAsia="zh-CN"/>
              </w:rPr>
              <w:t xml:space="preserve">n: </w:t>
            </w:r>
            <w:r w:rsidRPr="000B6D59">
              <w:rPr>
                <w:rFonts w:ascii="Arial" w:hAnsi="Arial" w:cs="Arial"/>
                <w:sz w:val="20"/>
                <w:lang w:val="en-GB" w:eastAsia="zh-CN"/>
              </w:rPr>
              <w:t>To have the maximum subcarrier grid alignment</w:t>
            </w:r>
            <w:r>
              <w:rPr>
                <w:rFonts w:ascii="Arial" w:hAnsi="Arial" w:cs="Arial"/>
                <w:sz w:val="20"/>
                <w:lang w:val="en-GB" w:eastAsia="zh-CN"/>
              </w:rPr>
              <w:t xml:space="preserve"> [with 30-kHz NR SCS]</w:t>
            </w:r>
            <w:r w:rsidRPr="000B6D59">
              <w:rPr>
                <w:rFonts w:ascii="Arial" w:hAnsi="Arial" w:cs="Arial"/>
                <w:sz w:val="20"/>
                <w:lang w:val="en-GB" w:eastAsia="zh-CN"/>
              </w:rPr>
              <w:t xml:space="preserve">, every </w:t>
            </w:r>
            <w:r>
              <w:rPr>
                <w:rFonts w:ascii="Arial" w:hAnsi="Arial" w:cs="Arial"/>
                <w:sz w:val="20"/>
                <w:lang w:val="en-GB" w:eastAsia="zh-CN"/>
              </w:rPr>
              <w:t>second</w:t>
            </w:r>
            <w:r w:rsidRPr="000B6D59">
              <w:rPr>
                <w:rFonts w:ascii="Arial" w:hAnsi="Arial" w:cs="Arial"/>
                <w:sz w:val="20"/>
                <w:lang w:val="en-GB" w:eastAsia="zh-CN"/>
              </w:rPr>
              <w:t xml:space="preserve"> LTE-M subcarrier needs to be aligned with an NR subcarrier.</w:t>
            </w:r>
          </w:p>
        </w:tc>
      </w:tr>
      <w:tr w:rsidR="0076022E" w:rsidRPr="008A1717" w14:paraId="774534C0" w14:textId="77777777" w:rsidTr="00F04697">
        <w:tc>
          <w:tcPr>
            <w:tcW w:w="2122" w:type="dxa"/>
          </w:tcPr>
          <w:p w14:paraId="22EB020A"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lastRenderedPageBreak/>
              <w:fldChar w:fldCharType="begin"/>
            </w:r>
            <w:r>
              <w:rPr>
                <w:rFonts w:ascii="Arial" w:hAnsi="Arial" w:cs="Arial"/>
                <w:b/>
                <w:sz w:val="20"/>
                <w:lang w:val="en-GB" w:eastAsia="zh-CN"/>
              </w:rPr>
              <w:instrText xml:space="preserve"> REF _Ref5045587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[3]</w:t>
            </w:r>
            <w:r>
              <w:rPr>
                <w:rFonts w:ascii="Arial" w:hAnsi="Arial" w:cs="Arial"/>
                <w:b/>
                <w:sz w:val="20"/>
                <w:lang w:val="en-GB" w:eastAsia="zh-CN"/>
              </w:rPr>
              <w:fldChar w:fldCharType="end"/>
            </w:r>
            <w:r>
              <w:rPr>
                <w:rFonts w:ascii="Arial" w:hAnsi="Arial" w:cs="Arial"/>
                <w:b/>
                <w:sz w:val="20"/>
                <w:lang w:val="en-GB" w:eastAsia="zh-CN"/>
              </w:rPr>
              <w:t xml:space="preserve"> Huawei, HiSilicon</w:t>
            </w:r>
          </w:p>
        </w:tc>
        <w:tc>
          <w:tcPr>
            <w:tcW w:w="7507" w:type="dxa"/>
          </w:tcPr>
          <w:p w14:paraId="2CBA0456" w14:textId="79863DD7" w:rsidR="0076022E" w:rsidRPr="00D9344F" w:rsidRDefault="00346C80" w:rsidP="00F04697">
            <w:pPr>
              <w:pStyle w:val="BodyText"/>
              <w:rPr>
                <w:rFonts w:ascii="Arial" w:hAnsi="Arial" w:cs="Arial"/>
                <w:sz w:val="20"/>
                <w:szCs w:val="20"/>
              </w:rPr>
            </w:pPr>
            <w:r w:rsidRPr="00346C80">
              <w:rPr>
                <w:rFonts w:ascii="Arial" w:hAnsi="Arial" w:cs="Arial"/>
                <w:sz w:val="20"/>
                <w:szCs w:val="20"/>
              </w:rPr>
              <w:t>Observation: Subcarrier and resource block alignment can bring more than 13% performance gain.</w:t>
            </w:r>
          </w:p>
        </w:tc>
      </w:tr>
      <w:tr w:rsidR="0076022E" w:rsidRPr="008A1717" w14:paraId="5AF8823B" w14:textId="77777777" w:rsidTr="00F04697">
        <w:tc>
          <w:tcPr>
            <w:tcW w:w="2122" w:type="dxa"/>
          </w:tcPr>
          <w:p w14:paraId="2EC076D1"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_Ref5045604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[5]</w:t>
            </w:r>
            <w:r>
              <w:rPr>
                <w:rFonts w:ascii="Arial" w:hAnsi="Arial" w:cs="Arial"/>
                <w:b/>
                <w:sz w:val="20"/>
                <w:lang w:val="en-GB" w:eastAsia="zh-CN"/>
              </w:rPr>
              <w:fldChar w:fldCharType="end"/>
            </w:r>
            <w:r>
              <w:rPr>
                <w:rFonts w:ascii="Arial" w:hAnsi="Arial" w:cs="Arial"/>
                <w:b/>
                <w:sz w:val="20"/>
                <w:lang w:val="en-GB" w:eastAsia="zh-CN"/>
              </w:rPr>
              <w:t xml:space="preserve"> ZTE</w:t>
            </w:r>
          </w:p>
        </w:tc>
        <w:tc>
          <w:tcPr>
            <w:tcW w:w="7507" w:type="dxa"/>
          </w:tcPr>
          <w:p w14:paraId="289AF011" w14:textId="2C9C53E1" w:rsidR="0076022E" w:rsidRPr="008A1717" w:rsidRDefault="002E6FAA" w:rsidP="00F04697">
            <w:pPr>
              <w:rPr>
                <w:rFonts w:ascii="Arial" w:hAnsi="Arial" w:cs="Arial"/>
                <w:sz w:val="20"/>
                <w:lang w:val="en-GB" w:eastAsia="zh-CN"/>
              </w:rPr>
            </w:pPr>
            <w:r w:rsidRPr="002E6FAA">
              <w:rPr>
                <w:rFonts w:ascii="Arial" w:hAnsi="Arial" w:cs="Arial"/>
                <w:sz w:val="20"/>
                <w:lang w:val="en-GB" w:eastAsia="zh-CN"/>
              </w:rPr>
              <w:t>Observation: For coexistence of LTE-MTC with NR, the number of PRBs with outlying subcarriers may be increased for the case that the LTE-MTC PRBs allocated to multiple LTE-MTC UEs are not continuous.</w:t>
            </w:r>
          </w:p>
        </w:tc>
      </w:tr>
      <w:tr w:rsidR="0076022E" w:rsidRPr="008A1717" w14:paraId="40D49426" w14:textId="77777777" w:rsidTr="00F04697">
        <w:tc>
          <w:tcPr>
            <w:tcW w:w="2122" w:type="dxa"/>
          </w:tcPr>
          <w:p w14:paraId="0AA90B45"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_Ref529801415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[6]</w:t>
            </w:r>
            <w:r>
              <w:rPr>
                <w:rFonts w:ascii="Arial" w:hAnsi="Arial" w:cs="Arial"/>
                <w:b/>
                <w:sz w:val="20"/>
                <w:lang w:val="en-GB" w:eastAsia="zh-CN"/>
              </w:rPr>
              <w:fldChar w:fldCharType="end"/>
            </w:r>
            <w:r>
              <w:rPr>
                <w:rFonts w:ascii="Arial" w:hAnsi="Arial" w:cs="Arial"/>
                <w:b/>
                <w:sz w:val="20"/>
                <w:lang w:val="en-GB" w:eastAsia="zh-CN"/>
              </w:rPr>
              <w:t xml:space="preserve"> Qualcomm Incorporated</w:t>
            </w:r>
          </w:p>
        </w:tc>
        <w:tc>
          <w:tcPr>
            <w:tcW w:w="7507" w:type="dxa"/>
          </w:tcPr>
          <w:p w14:paraId="122216E2" w14:textId="420AD244" w:rsidR="0076022E" w:rsidRPr="00AD0CF0" w:rsidRDefault="00CE1ADD" w:rsidP="00F04697">
            <w:pPr>
              <w:rPr>
                <w:rFonts w:ascii="Arial" w:hAnsi="Arial" w:cs="Arial"/>
                <w:sz w:val="20"/>
                <w:szCs w:val="20"/>
              </w:rPr>
            </w:pPr>
            <w:r w:rsidRPr="00CE1ADD">
              <w:rPr>
                <w:rFonts w:ascii="Arial" w:hAnsi="Arial" w:cs="Arial"/>
                <w:sz w:val="20"/>
                <w:szCs w:val="20"/>
              </w:rPr>
              <w:t>Observation: Perfect RB grid alignment between LTE-MTC and NR is not possible due to the presence of DC subcarrier in LTE-MTC.</w:t>
            </w:r>
          </w:p>
        </w:tc>
      </w:tr>
    </w:tbl>
    <w:p w14:paraId="240118D7" w14:textId="428B001E" w:rsidR="00934EA8" w:rsidRDefault="00934EA8" w:rsidP="00934EA8">
      <w:pPr>
        <w:pStyle w:val="Reference"/>
        <w:numPr>
          <w:ilvl w:val="0"/>
          <w:numId w:val="0"/>
        </w:numPr>
        <w:ind w:left="567" w:hanging="567"/>
        <w:rPr>
          <w:rFonts w:ascii="Arial" w:hAnsi="Arial" w:cs="Arial"/>
          <w:sz w:val="20"/>
        </w:rPr>
      </w:pPr>
    </w:p>
    <w:p w14:paraId="73A20992" w14:textId="722C9A52" w:rsidR="008312A5" w:rsidRDefault="00A25615" w:rsidP="008312A5">
      <w:pPr>
        <w:pStyle w:val="Heading2"/>
      </w:pPr>
      <w:r>
        <w:t>P</w:t>
      </w:r>
      <w:r w:rsidR="008312A5">
        <w:t>uncturing or rate-matching</w:t>
      </w:r>
      <w:r>
        <w:t xml:space="preserve"> of LTE-M subcarriers</w:t>
      </w:r>
    </w:p>
    <w:p w14:paraId="228E63E4" w14:textId="0D56CF38" w:rsidR="00C34289" w:rsidRDefault="009D5A82" w:rsidP="005745AE">
      <w:pPr>
        <w:pStyle w:val="BodyText"/>
        <w:rPr>
          <w:rFonts w:ascii="Arial" w:hAnsi="Arial" w:cs="Arial"/>
          <w:sz w:val="20"/>
        </w:rPr>
      </w:pPr>
      <w:r>
        <w:rPr>
          <w:rFonts w:ascii="Arial" w:hAnsi="Arial" w:cs="Arial"/>
          <w:sz w:val="20"/>
        </w:rPr>
        <w:t xml:space="preserve">The contributions listed in the table below </w:t>
      </w:r>
      <w:r w:rsidR="00583CE8">
        <w:rPr>
          <w:rFonts w:ascii="Arial" w:hAnsi="Arial" w:cs="Arial"/>
          <w:sz w:val="20"/>
        </w:rPr>
        <w:t>discuss handing of the outlying subcarriers through puncturing or rate-matching.</w:t>
      </w:r>
    </w:p>
    <w:p w14:paraId="272F6B54" w14:textId="77777777" w:rsidR="00F94E81" w:rsidRPr="000345B6" w:rsidRDefault="00F94E81" w:rsidP="00F94E81">
      <w:pPr>
        <w:pStyle w:val="BodyText"/>
        <w:rPr>
          <w:rFonts w:ascii="Arial" w:hAnsi="Arial" w:cs="Arial"/>
          <w:sz w:val="20"/>
          <w:highlight w:val="yellow"/>
        </w:rPr>
      </w:pPr>
      <w:r w:rsidRPr="000345B6">
        <w:rPr>
          <w:rFonts w:ascii="Arial" w:hAnsi="Arial" w:cs="Arial"/>
          <w:sz w:val="20"/>
          <w:highlight w:val="yellow"/>
        </w:rPr>
        <w:t>Feature lead recommendation:</w:t>
      </w:r>
    </w:p>
    <w:p w14:paraId="271682BE" w14:textId="236664BE" w:rsidR="00C323F8" w:rsidRDefault="00C323F8" w:rsidP="00BE0DD7">
      <w:pPr>
        <w:pStyle w:val="BodyText"/>
        <w:numPr>
          <w:ilvl w:val="0"/>
          <w:numId w:val="29"/>
        </w:numPr>
        <w:rPr>
          <w:rFonts w:ascii="Arial" w:hAnsi="Arial" w:cs="Arial"/>
          <w:sz w:val="20"/>
        </w:rPr>
      </w:pPr>
      <w:r>
        <w:rPr>
          <w:rFonts w:ascii="Arial" w:hAnsi="Arial" w:cs="Arial"/>
          <w:sz w:val="20"/>
        </w:rPr>
        <w:t xml:space="preserve">RAN1 </w:t>
      </w:r>
      <w:r w:rsidR="00830A86">
        <w:rPr>
          <w:rFonts w:ascii="Arial" w:hAnsi="Arial" w:cs="Arial"/>
          <w:sz w:val="20"/>
        </w:rPr>
        <w:t>continues to study</w:t>
      </w:r>
      <w:r>
        <w:rPr>
          <w:rFonts w:ascii="Arial" w:hAnsi="Arial" w:cs="Arial"/>
          <w:sz w:val="20"/>
        </w:rPr>
        <w:t xml:space="preserve"> </w:t>
      </w:r>
      <w:r w:rsidR="009A04D8">
        <w:rPr>
          <w:rFonts w:ascii="Arial" w:hAnsi="Arial" w:cs="Arial"/>
          <w:sz w:val="20"/>
        </w:rPr>
        <w:t>puncturing and/or rate-matching of outlying LTE-MTC subcarriers for performance improvement of resource block alignment between LTE-MTC and NR</w:t>
      </w:r>
      <w:r w:rsidR="008C769E">
        <w:rPr>
          <w:rFonts w:ascii="Arial" w:hAnsi="Arial" w:cs="Arial"/>
          <w:sz w:val="20"/>
        </w:rPr>
        <w:t xml:space="preserve"> until RAN1#97</w:t>
      </w:r>
      <w:r w:rsidR="00930D17">
        <w:rPr>
          <w:rFonts w:ascii="Arial" w:hAnsi="Arial" w:cs="Arial"/>
          <w:sz w:val="20"/>
        </w:rPr>
        <w:t>.</w:t>
      </w:r>
    </w:p>
    <w:p w14:paraId="63B4A68C" w14:textId="440395C2" w:rsidR="00E65F62" w:rsidRDefault="006F6818" w:rsidP="00E65F62">
      <w:pPr>
        <w:pStyle w:val="BodyText"/>
        <w:numPr>
          <w:ilvl w:val="1"/>
          <w:numId w:val="29"/>
        </w:numPr>
        <w:rPr>
          <w:rFonts w:ascii="Arial" w:hAnsi="Arial" w:cs="Arial"/>
          <w:sz w:val="20"/>
        </w:rPr>
      </w:pPr>
      <w:r>
        <w:rPr>
          <w:rFonts w:ascii="Arial" w:hAnsi="Arial" w:cs="Arial"/>
          <w:sz w:val="20"/>
          <w:lang w:val="en-GB" w:eastAsia="zh-CN"/>
        </w:rPr>
        <w:t>A</w:t>
      </w:r>
      <w:r w:rsidR="00E27BFC" w:rsidRPr="00357E61">
        <w:rPr>
          <w:rFonts w:ascii="Arial" w:hAnsi="Arial" w:cs="Arial"/>
          <w:sz w:val="20"/>
          <w:lang w:val="en-GB" w:eastAsia="zh-CN"/>
        </w:rPr>
        <w:t xml:space="preserve">ssume puncturing of 1, 4 or 5 </w:t>
      </w:r>
      <w:r>
        <w:rPr>
          <w:rFonts w:ascii="Arial" w:hAnsi="Arial" w:cs="Arial"/>
          <w:sz w:val="20"/>
          <w:lang w:val="en-GB" w:eastAsia="zh-CN"/>
        </w:rPr>
        <w:t xml:space="preserve">LTE-MTC </w:t>
      </w:r>
      <w:r w:rsidR="00F45B1E">
        <w:rPr>
          <w:rFonts w:ascii="Arial" w:hAnsi="Arial" w:cs="Arial"/>
          <w:sz w:val="20"/>
          <w:lang w:val="en-GB" w:eastAsia="zh-CN"/>
        </w:rPr>
        <w:t xml:space="preserve">DL </w:t>
      </w:r>
      <w:r w:rsidR="00E27BFC" w:rsidRPr="00357E61">
        <w:rPr>
          <w:rFonts w:ascii="Arial" w:hAnsi="Arial" w:cs="Arial"/>
          <w:sz w:val="20"/>
          <w:lang w:val="en-GB" w:eastAsia="zh-CN"/>
        </w:rPr>
        <w:t xml:space="preserve">subcarriers in case of </w:t>
      </w:r>
      <w:r w:rsidR="004E1DB3">
        <w:rPr>
          <w:rFonts w:ascii="Arial" w:hAnsi="Arial" w:cs="Arial"/>
          <w:sz w:val="20"/>
          <w:lang w:val="en-GB" w:eastAsia="zh-CN"/>
        </w:rPr>
        <w:t xml:space="preserve">an </w:t>
      </w:r>
      <w:r w:rsidR="00E27BFC" w:rsidRPr="00357E61">
        <w:rPr>
          <w:rFonts w:ascii="Arial" w:hAnsi="Arial" w:cs="Arial"/>
          <w:sz w:val="20"/>
          <w:lang w:val="en-GB" w:eastAsia="zh-CN"/>
        </w:rPr>
        <w:t xml:space="preserve">even total number of NR RBs and 2, 3 or 6 </w:t>
      </w:r>
      <w:r>
        <w:rPr>
          <w:rFonts w:ascii="Arial" w:hAnsi="Arial" w:cs="Arial"/>
          <w:sz w:val="20"/>
          <w:lang w:val="en-GB" w:eastAsia="zh-CN"/>
        </w:rPr>
        <w:t xml:space="preserve">LTE-MTC </w:t>
      </w:r>
      <w:r w:rsidR="00F45B1E">
        <w:rPr>
          <w:rFonts w:ascii="Arial" w:hAnsi="Arial" w:cs="Arial"/>
          <w:sz w:val="20"/>
          <w:lang w:val="en-GB" w:eastAsia="zh-CN"/>
        </w:rPr>
        <w:t xml:space="preserve">DL </w:t>
      </w:r>
      <w:r w:rsidR="00E27BFC" w:rsidRPr="00357E61">
        <w:rPr>
          <w:rFonts w:ascii="Arial" w:hAnsi="Arial" w:cs="Arial"/>
          <w:sz w:val="20"/>
          <w:lang w:val="en-GB" w:eastAsia="zh-CN"/>
        </w:rPr>
        <w:t xml:space="preserve">subcarriers in case of </w:t>
      </w:r>
      <w:r w:rsidR="004E1DB3">
        <w:rPr>
          <w:rFonts w:ascii="Arial" w:hAnsi="Arial" w:cs="Arial"/>
          <w:sz w:val="20"/>
          <w:lang w:val="en-GB" w:eastAsia="zh-CN"/>
        </w:rPr>
        <w:t xml:space="preserve">an </w:t>
      </w:r>
      <w:r w:rsidR="00E27BFC" w:rsidRPr="00357E61">
        <w:rPr>
          <w:rFonts w:ascii="Arial" w:hAnsi="Arial" w:cs="Arial"/>
          <w:sz w:val="20"/>
          <w:lang w:val="en-GB" w:eastAsia="zh-CN"/>
        </w:rPr>
        <w:t>odd total number of NR RBs</w:t>
      </w:r>
      <w:r w:rsidR="00E27BFC">
        <w:rPr>
          <w:rFonts w:ascii="Arial" w:hAnsi="Arial" w:cs="Arial"/>
          <w:sz w:val="20"/>
          <w:lang w:val="en-GB" w:eastAsia="zh-CN"/>
        </w:rPr>
        <w:t>.</w:t>
      </w:r>
    </w:p>
    <w:p w14:paraId="1EFBE965" w14:textId="34474458" w:rsidR="00E65F62" w:rsidRDefault="000827C3" w:rsidP="00E65F62">
      <w:pPr>
        <w:pStyle w:val="BodyText"/>
        <w:numPr>
          <w:ilvl w:val="1"/>
          <w:numId w:val="29"/>
        </w:numPr>
        <w:rPr>
          <w:rFonts w:ascii="Arial" w:hAnsi="Arial" w:cs="Arial"/>
          <w:sz w:val="20"/>
        </w:rPr>
      </w:pPr>
      <w:r w:rsidRPr="00357E61">
        <w:rPr>
          <w:rFonts w:ascii="Arial" w:hAnsi="Arial" w:cs="Arial"/>
          <w:sz w:val="20"/>
          <w:lang w:val="en-GB" w:eastAsia="zh-CN"/>
        </w:rPr>
        <w:t>Consider puncturing of outlying LTE-M</w:t>
      </w:r>
      <w:r>
        <w:rPr>
          <w:rFonts w:ascii="Arial" w:hAnsi="Arial" w:cs="Arial"/>
          <w:sz w:val="20"/>
          <w:lang w:val="en-GB" w:eastAsia="zh-CN"/>
        </w:rPr>
        <w:t>TC</w:t>
      </w:r>
      <w:r w:rsidRPr="00357E61">
        <w:rPr>
          <w:rFonts w:ascii="Arial" w:hAnsi="Arial" w:cs="Arial"/>
          <w:sz w:val="20"/>
          <w:lang w:val="en-GB" w:eastAsia="zh-CN"/>
        </w:rPr>
        <w:t xml:space="preserve"> DL subcarriers without the (legacy) UE being aware of the puncturing as a reference case</w:t>
      </w:r>
      <w:r>
        <w:rPr>
          <w:rFonts w:ascii="Arial" w:hAnsi="Arial" w:cs="Arial"/>
          <w:sz w:val="20"/>
          <w:lang w:val="en-GB" w:eastAsia="zh-CN"/>
        </w:rPr>
        <w:t>.</w:t>
      </w:r>
    </w:p>
    <w:p w14:paraId="03111115" w14:textId="506009B6" w:rsidR="00830A86" w:rsidRPr="00930D17" w:rsidRDefault="006F6818" w:rsidP="008F2BE9">
      <w:pPr>
        <w:pStyle w:val="BodyText"/>
        <w:numPr>
          <w:ilvl w:val="1"/>
          <w:numId w:val="29"/>
        </w:numPr>
        <w:rPr>
          <w:rFonts w:ascii="Arial" w:hAnsi="Arial" w:cs="Arial"/>
          <w:sz w:val="20"/>
        </w:rPr>
      </w:pPr>
      <w:r>
        <w:rPr>
          <w:rFonts w:ascii="Arial" w:hAnsi="Arial" w:cs="Arial"/>
          <w:sz w:val="20"/>
          <w:szCs w:val="20"/>
        </w:rPr>
        <w:t>Assume that no</w:t>
      </w:r>
      <w:r w:rsidR="004E7ADC" w:rsidRPr="00FD3488">
        <w:rPr>
          <w:rFonts w:ascii="Arial" w:hAnsi="Arial" w:cs="Arial"/>
          <w:sz w:val="20"/>
          <w:szCs w:val="20"/>
        </w:rPr>
        <w:t xml:space="preserve"> new transmission scheme</w:t>
      </w:r>
      <w:r w:rsidR="004E7ADC">
        <w:rPr>
          <w:rFonts w:ascii="Arial" w:hAnsi="Arial" w:cs="Arial"/>
          <w:sz w:val="20"/>
          <w:szCs w:val="20"/>
        </w:rPr>
        <w:t xml:space="preserve"> </w:t>
      </w:r>
      <w:r w:rsidR="00147730">
        <w:rPr>
          <w:rFonts w:ascii="Arial" w:hAnsi="Arial" w:cs="Arial"/>
          <w:sz w:val="20"/>
          <w:szCs w:val="20"/>
        </w:rPr>
        <w:t>(</w:t>
      </w:r>
      <w:r w:rsidR="004E7ADC" w:rsidRPr="00B21A64">
        <w:rPr>
          <w:rFonts w:ascii="Arial" w:hAnsi="Arial" w:cs="Arial"/>
          <w:sz w:val="20"/>
          <w:szCs w:val="20"/>
        </w:rPr>
        <w:t>for example, single tone transmission</w:t>
      </w:r>
      <w:r w:rsidR="00147730">
        <w:rPr>
          <w:rFonts w:ascii="Arial" w:hAnsi="Arial" w:cs="Arial"/>
          <w:sz w:val="20"/>
          <w:szCs w:val="20"/>
        </w:rPr>
        <w:t>)</w:t>
      </w:r>
      <w:r w:rsidR="004E7ADC" w:rsidRPr="00FD3488">
        <w:rPr>
          <w:rFonts w:ascii="Arial" w:hAnsi="Arial" w:cs="Arial"/>
          <w:sz w:val="20"/>
          <w:szCs w:val="20"/>
        </w:rPr>
        <w:t xml:space="preserve"> is introduced after the outlying subcarrier is punctured or rate-matched around</w:t>
      </w:r>
      <w:r w:rsidR="00147730">
        <w:rPr>
          <w:rFonts w:ascii="Arial" w:hAnsi="Arial" w:cs="Arial"/>
          <w:sz w:val="20"/>
          <w:szCs w:val="20"/>
        </w:rPr>
        <w:t>.</w:t>
      </w:r>
    </w:p>
    <w:p w14:paraId="0F616EB3" w14:textId="2A3EDDBC" w:rsidR="00930D17" w:rsidRDefault="00930D17" w:rsidP="008F2BE9">
      <w:pPr>
        <w:pStyle w:val="BodyText"/>
        <w:numPr>
          <w:ilvl w:val="1"/>
          <w:numId w:val="29"/>
        </w:numPr>
        <w:rPr>
          <w:rFonts w:ascii="Arial" w:hAnsi="Arial" w:cs="Arial"/>
          <w:sz w:val="20"/>
        </w:rPr>
      </w:pPr>
      <w:r>
        <w:rPr>
          <w:rFonts w:ascii="Arial" w:hAnsi="Arial" w:cs="Arial"/>
          <w:sz w:val="20"/>
        </w:rPr>
        <w:t xml:space="preserve">Assume that CRS </w:t>
      </w:r>
      <w:r w:rsidR="00814B95">
        <w:rPr>
          <w:rFonts w:ascii="Arial" w:hAnsi="Arial" w:cs="Arial"/>
          <w:sz w:val="20"/>
        </w:rPr>
        <w:t>[</w:t>
      </w:r>
      <w:r w:rsidR="000E6213">
        <w:rPr>
          <w:rFonts w:ascii="Arial" w:hAnsi="Arial" w:cs="Arial"/>
          <w:sz w:val="20"/>
        </w:rPr>
        <w:t>and DMRS</w:t>
      </w:r>
      <w:r w:rsidR="00814B95">
        <w:rPr>
          <w:rFonts w:ascii="Arial" w:hAnsi="Arial" w:cs="Arial"/>
          <w:sz w:val="20"/>
        </w:rPr>
        <w:t>?]</w:t>
      </w:r>
      <w:r w:rsidR="000E6213">
        <w:rPr>
          <w:rFonts w:ascii="Arial" w:hAnsi="Arial" w:cs="Arial"/>
          <w:sz w:val="20"/>
        </w:rPr>
        <w:t xml:space="preserve"> are</w:t>
      </w:r>
      <w:r>
        <w:rPr>
          <w:rFonts w:ascii="Arial" w:hAnsi="Arial" w:cs="Arial"/>
          <w:sz w:val="20"/>
        </w:rPr>
        <w:t xml:space="preserve"> not punctured.</w:t>
      </w:r>
    </w:p>
    <w:p w14:paraId="5A2F1265" w14:textId="6B4CA085" w:rsidR="00D814D2" w:rsidRDefault="009D21AE" w:rsidP="00D814D2">
      <w:pPr>
        <w:pStyle w:val="BodyText"/>
        <w:numPr>
          <w:ilvl w:val="1"/>
          <w:numId w:val="29"/>
        </w:numPr>
        <w:rPr>
          <w:rFonts w:ascii="Arial" w:hAnsi="Arial" w:cs="Arial"/>
          <w:sz w:val="20"/>
        </w:rPr>
      </w:pPr>
      <w:r>
        <w:rPr>
          <w:rFonts w:ascii="Arial" w:hAnsi="Arial" w:cs="Arial"/>
          <w:sz w:val="20"/>
        </w:rPr>
        <w:t>C</w:t>
      </w:r>
      <w:r w:rsidR="00930D17">
        <w:rPr>
          <w:rFonts w:ascii="Arial" w:hAnsi="Arial" w:cs="Arial"/>
          <w:sz w:val="20"/>
        </w:rPr>
        <w:t>onsider</w:t>
      </w:r>
      <w:r>
        <w:rPr>
          <w:rFonts w:ascii="Arial" w:hAnsi="Arial" w:cs="Arial"/>
          <w:sz w:val="20"/>
        </w:rPr>
        <w:t xml:space="preserve"> both DL and</w:t>
      </w:r>
      <w:r w:rsidR="00930D17">
        <w:rPr>
          <w:rFonts w:ascii="Arial" w:hAnsi="Arial" w:cs="Arial"/>
          <w:sz w:val="20"/>
        </w:rPr>
        <w:t xml:space="preserve"> UL aspects</w:t>
      </w:r>
      <w:r w:rsidR="00D814D2">
        <w:rPr>
          <w:rFonts w:ascii="Arial" w:hAnsi="Arial" w:cs="Arial"/>
          <w:sz w:val="20"/>
        </w:rPr>
        <w:t>.</w:t>
      </w:r>
    </w:p>
    <w:p w14:paraId="40F50CB2" w14:textId="53C8058E" w:rsidR="00FF417B" w:rsidRDefault="00FF417B" w:rsidP="00FF417B">
      <w:pPr>
        <w:pStyle w:val="BodyText"/>
        <w:numPr>
          <w:ilvl w:val="0"/>
          <w:numId w:val="29"/>
        </w:numPr>
        <w:rPr>
          <w:rFonts w:ascii="Arial" w:hAnsi="Arial" w:cs="Arial"/>
          <w:sz w:val="20"/>
        </w:rPr>
      </w:pPr>
      <w:r>
        <w:rPr>
          <w:rFonts w:ascii="Arial" w:hAnsi="Arial" w:cs="Arial"/>
          <w:sz w:val="20"/>
        </w:rPr>
        <w:t xml:space="preserve">RAN1 discusses what physical channels/signals that </w:t>
      </w:r>
      <w:r w:rsidR="0071259C">
        <w:rPr>
          <w:rFonts w:ascii="Arial" w:hAnsi="Arial" w:cs="Arial"/>
          <w:sz w:val="20"/>
        </w:rPr>
        <w:t>should be considered for puncturing and/or rate-matching</w:t>
      </w:r>
      <w:r>
        <w:rPr>
          <w:rFonts w:ascii="Arial" w:hAnsi="Arial" w:cs="Arial"/>
          <w:sz w:val="20"/>
        </w:rPr>
        <w:t>.</w:t>
      </w:r>
    </w:p>
    <w:tbl>
      <w:tblPr>
        <w:tblStyle w:val="TableGrid"/>
        <w:tblW w:w="0" w:type="auto"/>
        <w:tblLook w:val="04A0" w:firstRow="1" w:lastRow="0" w:firstColumn="1" w:lastColumn="0" w:noHBand="0" w:noVBand="1"/>
      </w:tblPr>
      <w:tblGrid>
        <w:gridCol w:w="2122"/>
        <w:gridCol w:w="7507"/>
      </w:tblGrid>
      <w:tr w:rsidR="0076022E" w:rsidRPr="008A1717" w14:paraId="1B3E3D6D" w14:textId="77777777" w:rsidTr="00F04697">
        <w:tc>
          <w:tcPr>
            <w:tcW w:w="2122" w:type="dxa"/>
          </w:tcPr>
          <w:p w14:paraId="2D500B97"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_Ref1595240 \r \h  \* MERGEFORMAT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[2]</w:t>
            </w:r>
            <w:r>
              <w:rPr>
                <w:rFonts w:ascii="Arial" w:hAnsi="Arial" w:cs="Arial"/>
                <w:b/>
                <w:sz w:val="20"/>
                <w:lang w:val="en-GB" w:eastAsia="zh-CN"/>
              </w:rPr>
              <w:fldChar w:fldCharType="end"/>
            </w:r>
            <w:r>
              <w:rPr>
                <w:rFonts w:ascii="Arial" w:hAnsi="Arial" w:cs="Arial"/>
                <w:b/>
                <w:sz w:val="20"/>
                <w:lang w:val="en-GB" w:eastAsia="zh-CN"/>
              </w:rPr>
              <w:t xml:space="preserve"> Ericsson</w:t>
            </w:r>
          </w:p>
        </w:tc>
        <w:tc>
          <w:tcPr>
            <w:tcW w:w="7507" w:type="dxa"/>
          </w:tcPr>
          <w:p w14:paraId="39B1DF51" w14:textId="579B904D" w:rsidR="007628AF" w:rsidRPr="00357E61" w:rsidRDefault="007628AF" w:rsidP="007628AF">
            <w:pPr>
              <w:rPr>
                <w:rFonts w:ascii="Arial" w:hAnsi="Arial" w:cs="Arial"/>
                <w:sz w:val="20"/>
                <w:lang w:val="en-GB" w:eastAsia="zh-CN"/>
              </w:rPr>
            </w:pPr>
            <w:r w:rsidRPr="00357E61">
              <w:rPr>
                <w:rFonts w:ascii="Arial" w:hAnsi="Arial" w:cs="Arial"/>
                <w:sz w:val="20"/>
                <w:lang w:val="en-GB" w:eastAsia="zh-CN"/>
              </w:rPr>
              <w:t>Observation</w:t>
            </w:r>
            <w:r>
              <w:rPr>
                <w:rFonts w:ascii="Arial" w:hAnsi="Arial" w:cs="Arial"/>
                <w:sz w:val="20"/>
                <w:lang w:val="en-GB" w:eastAsia="zh-CN"/>
              </w:rPr>
              <w:t xml:space="preserve">: </w:t>
            </w:r>
            <w:r w:rsidRPr="00357E61">
              <w:rPr>
                <w:rFonts w:ascii="Arial" w:hAnsi="Arial" w:cs="Arial"/>
                <w:sz w:val="20"/>
                <w:lang w:val="en-GB" w:eastAsia="zh-CN"/>
              </w:rPr>
              <w:t xml:space="preserve">For </w:t>
            </w:r>
            <w:r w:rsidR="00C323F8">
              <w:rPr>
                <w:rFonts w:ascii="Arial" w:hAnsi="Arial" w:cs="Arial"/>
                <w:sz w:val="20"/>
                <w:lang w:val="en-GB" w:eastAsia="zh-CN"/>
              </w:rPr>
              <w:t xml:space="preserve">an </w:t>
            </w:r>
            <w:r w:rsidRPr="00357E61">
              <w:rPr>
                <w:rFonts w:ascii="Arial" w:hAnsi="Arial" w:cs="Arial"/>
                <w:sz w:val="20"/>
                <w:lang w:val="en-GB" w:eastAsia="zh-CN"/>
              </w:rPr>
              <w:t>even total number of NR RBs, the possible numbers of outlying LTE-M DL subcarriers due to RB misalignment between NR and LTE-M can be 1, 4, or 5. For</w:t>
            </w:r>
            <w:r w:rsidR="00C323F8">
              <w:rPr>
                <w:rFonts w:ascii="Arial" w:hAnsi="Arial" w:cs="Arial"/>
                <w:sz w:val="20"/>
                <w:lang w:val="en-GB" w:eastAsia="zh-CN"/>
              </w:rPr>
              <w:t xml:space="preserve"> an</w:t>
            </w:r>
            <w:r w:rsidRPr="00357E61">
              <w:rPr>
                <w:rFonts w:ascii="Arial" w:hAnsi="Arial" w:cs="Arial"/>
                <w:sz w:val="20"/>
                <w:lang w:val="en-GB" w:eastAsia="zh-CN"/>
              </w:rPr>
              <w:t xml:space="preserve"> odd total number of NR RBs, there can be 2, 3, or 6.</w:t>
            </w:r>
          </w:p>
          <w:p w14:paraId="77D0EC7B" w14:textId="7A1D7FFD" w:rsidR="007628AF" w:rsidRPr="00357E61" w:rsidRDefault="007628AF" w:rsidP="007628AF">
            <w:pPr>
              <w:rPr>
                <w:rFonts w:ascii="Arial" w:hAnsi="Arial" w:cs="Arial"/>
                <w:sz w:val="20"/>
                <w:lang w:val="en-GB" w:eastAsia="zh-CN"/>
              </w:rPr>
            </w:pPr>
            <w:r w:rsidRPr="00357E61">
              <w:rPr>
                <w:rFonts w:ascii="Arial" w:hAnsi="Arial" w:cs="Arial"/>
                <w:sz w:val="20"/>
                <w:lang w:val="en-GB" w:eastAsia="zh-CN"/>
              </w:rPr>
              <w:t>Proposal</w:t>
            </w:r>
            <w:r>
              <w:rPr>
                <w:rFonts w:ascii="Arial" w:hAnsi="Arial" w:cs="Arial"/>
                <w:sz w:val="20"/>
                <w:lang w:val="en-GB" w:eastAsia="zh-CN"/>
              </w:rPr>
              <w:t xml:space="preserve">: </w:t>
            </w:r>
            <w:r w:rsidRPr="00357E61">
              <w:rPr>
                <w:rFonts w:ascii="Arial" w:hAnsi="Arial" w:cs="Arial"/>
                <w:sz w:val="20"/>
                <w:lang w:val="en-GB" w:eastAsia="zh-CN"/>
              </w:rPr>
              <w:t xml:space="preserve">For evaluation of the LTE-M performance loss from puncturing of outlying LTE-M DL subcarriers, assume puncturing of 1, 4 or 5 subcarriers in case of </w:t>
            </w:r>
            <w:r w:rsidR="004E1DB3">
              <w:rPr>
                <w:rFonts w:ascii="Arial" w:hAnsi="Arial" w:cs="Arial"/>
                <w:sz w:val="20"/>
                <w:lang w:val="en-GB" w:eastAsia="zh-CN"/>
              </w:rPr>
              <w:t xml:space="preserve">an </w:t>
            </w:r>
            <w:r w:rsidRPr="00357E61">
              <w:rPr>
                <w:rFonts w:ascii="Arial" w:hAnsi="Arial" w:cs="Arial"/>
                <w:sz w:val="20"/>
                <w:lang w:val="en-GB" w:eastAsia="zh-CN"/>
              </w:rPr>
              <w:t xml:space="preserve">even total number of NR RBs and 2, 3 or 6 subcarriers in case of </w:t>
            </w:r>
            <w:r w:rsidR="004E1DB3">
              <w:rPr>
                <w:rFonts w:ascii="Arial" w:hAnsi="Arial" w:cs="Arial"/>
                <w:sz w:val="20"/>
                <w:lang w:val="en-GB" w:eastAsia="zh-CN"/>
              </w:rPr>
              <w:t xml:space="preserve">an </w:t>
            </w:r>
            <w:r w:rsidRPr="00357E61">
              <w:rPr>
                <w:rFonts w:ascii="Arial" w:hAnsi="Arial" w:cs="Arial"/>
                <w:sz w:val="20"/>
                <w:lang w:val="en-GB" w:eastAsia="zh-CN"/>
              </w:rPr>
              <w:t>odd total number of NR RBs.</w:t>
            </w:r>
          </w:p>
          <w:p w14:paraId="250D2485" w14:textId="069C714B" w:rsidR="007628AF" w:rsidRDefault="007628AF" w:rsidP="007628AF">
            <w:pPr>
              <w:rPr>
                <w:rFonts w:ascii="Arial" w:hAnsi="Arial" w:cs="Arial"/>
                <w:sz w:val="20"/>
                <w:lang w:val="en-GB" w:eastAsia="zh-CN"/>
              </w:rPr>
            </w:pPr>
            <w:r w:rsidRPr="00357E61">
              <w:rPr>
                <w:rFonts w:ascii="Arial" w:hAnsi="Arial" w:cs="Arial"/>
                <w:sz w:val="20"/>
                <w:lang w:val="en-GB" w:eastAsia="zh-CN"/>
              </w:rPr>
              <w:lastRenderedPageBreak/>
              <w:t>Proposal</w:t>
            </w:r>
            <w:r>
              <w:rPr>
                <w:rFonts w:ascii="Arial" w:hAnsi="Arial" w:cs="Arial"/>
                <w:sz w:val="20"/>
                <w:lang w:val="en-GB" w:eastAsia="zh-CN"/>
              </w:rPr>
              <w:t xml:space="preserve">: </w:t>
            </w:r>
            <w:r w:rsidRPr="00357E61">
              <w:rPr>
                <w:rFonts w:ascii="Arial" w:hAnsi="Arial" w:cs="Arial"/>
                <w:sz w:val="20"/>
                <w:lang w:val="en-GB" w:eastAsia="zh-CN"/>
              </w:rPr>
              <w:t>Consider whether puncturing of outlying LTE-M DL subcarriers without the (legacy) UE being aware of the puncturing should be considered as a reference case.</w:t>
            </w:r>
          </w:p>
          <w:p w14:paraId="72D973D9" w14:textId="2B7CD136" w:rsidR="0076022E" w:rsidRPr="008A1717" w:rsidRDefault="007628AF" w:rsidP="007628AF">
            <w:pPr>
              <w:rPr>
                <w:rFonts w:ascii="Arial" w:hAnsi="Arial" w:cs="Arial"/>
                <w:sz w:val="20"/>
                <w:lang w:val="en-GB" w:eastAsia="zh-CN"/>
              </w:rPr>
            </w:pPr>
            <w:r w:rsidRPr="00357E61">
              <w:rPr>
                <w:rFonts w:ascii="Arial" w:hAnsi="Arial" w:cs="Arial"/>
                <w:sz w:val="20"/>
                <w:lang w:val="en-GB" w:eastAsia="zh-CN"/>
              </w:rPr>
              <w:t>Proposal</w:t>
            </w:r>
            <w:r>
              <w:rPr>
                <w:rFonts w:ascii="Arial" w:hAnsi="Arial" w:cs="Arial"/>
                <w:sz w:val="20"/>
                <w:lang w:val="en-GB" w:eastAsia="zh-CN"/>
              </w:rPr>
              <w:t xml:space="preserve">: </w:t>
            </w:r>
            <w:r w:rsidRPr="00357E61">
              <w:rPr>
                <w:rFonts w:ascii="Arial" w:hAnsi="Arial" w:cs="Arial"/>
                <w:sz w:val="20"/>
                <w:lang w:val="en-GB" w:eastAsia="zh-CN"/>
              </w:rPr>
              <w:t>Rate matching can be considered when there are more than 1-2 outlying subcarriers.</w:t>
            </w:r>
          </w:p>
        </w:tc>
      </w:tr>
      <w:tr w:rsidR="0076022E" w:rsidRPr="008A1717" w14:paraId="1E15A83D" w14:textId="77777777" w:rsidTr="00F04697">
        <w:tc>
          <w:tcPr>
            <w:tcW w:w="2122" w:type="dxa"/>
          </w:tcPr>
          <w:p w14:paraId="3DC74029"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lastRenderedPageBreak/>
              <w:fldChar w:fldCharType="begin"/>
            </w:r>
            <w:r>
              <w:rPr>
                <w:rFonts w:ascii="Arial" w:hAnsi="Arial" w:cs="Arial"/>
                <w:b/>
                <w:sz w:val="20"/>
                <w:lang w:val="en-GB" w:eastAsia="zh-CN"/>
              </w:rPr>
              <w:instrText xml:space="preserve"> REF _Ref5045587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[3]</w:t>
            </w:r>
            <w:r>
              <w:rPr>
                <w:rFonts w:ascii="Arial" w:hAnsi="Arial" w:cs="Arial"/>
                <w:b/>
                <w:sz w:val="20"/>
                <w:lang w:val="en-GB" w:eastAsia="zh-CN"/>
              </w:rPr>
              <w:fldChar w:fldCharType="end"/>
            </w:r>
            <w:r>
              <w:rPr>
                <w:rFonts w:ascii="Arial" w:hAnsi="Arial" w:cs="Arial"/>
                <w:b/>
                <w:sz w:val="20"/>
                <w:lang w:val="en-GB" w:eastAsia="zh-CN"/>
              </w:rPr>
              <w:t xml:space="preserve"> Huawei, HiSilicon</w:t>
            </w:r>
          </w:p>
        </w:tc>
        <w:tc>
          <w:tcPr>
            <w:tcW w:w="7507" w:type="dxa"/>
          </w:tcPr>
          <w:p w14:paraId="508716ED" w14:textId="716F4385" w:rsidR="00FD3488" w:rsidRPr="00FD3488" w:rsidRDefault="00FD3488" w:rsidP="00FD3488">
            <w:pPr>
              <w:pStyle w:val="BodyText"/>
              <w:rPr>
                <w:rFonts w:ascii="Arial" w:hAnsi="Arial" w:cs="Arial"/>
                <w:sz w:val="20"/>
                <w:szCs w:val="20"/>
              </w:rPr>
            </w:pPr>
            <w:r w:rsidRPr="00FD3488">
              <w:rPr>
                <w:rFonts w:ascii="Arial" w:hAnsi="Arial" w:cs="Arial"/>
                <w:sz w:val="20"/>
                <w:szCs w:val="20"/>
              </w:rPr>
              <w:t>Proposal: Both puncturing and rate-matching can be used to handle the outlying subcarrier due to the LTE DC subcarrier.</w:t>
            </w:r>
          </w:p>
          <w:p w14:paraId="1FF53C43" w14:textId="5792D821" w:rsidR="0076022E" w:rsidRPr="00D9344F" w:rsidRDefault="00FD3488" w:rsidP="00FD3488">
            <w:pPr>
              <w:pStyle w:val="BodyText"/>
              <w:rPr>
                <w:rFonts w:ascii="Arial" w:hAnsi="Arial" w:cs="Arial"/>
                <w:sz w:val="20"/>
                <w:szCs w:val="20"/>
              </w:rPr>
            </w:pPr>
            <w:r w:rsidRPr="00FD3488">
              <w:rPr>
                <w:rFonts w:ascii="Arial" w:hAnsi="Arial" w:cs="Arial"/>
                <w:sz w:val="20"/>
                <w:szCs w:val="20"/>
              </w:rPr>
              <w:t>Proposal: No new transmission scheme</w:t>
            </w:r>
            <w:r w:rsidR="00B21A64">
              <w:rPr>
                <w:rFonts w:ascii="Arial" w:hAnsi="Arial" w:cs="Arial"/>
                <w:sz w:val="20"/>
                <w:szCs w:val="20"/>
              </w:rPr>
              <w:t xml:space="preserve"> </w:t>
            </w:r>
            <w:r w:rsidR="003524F9">
              <w:rPr>
                <w:rFonts w:ascii="Arial" w:hAnsi="Arial" w:cs="Arial"/>
                <w:sz w:val="20"/>
                <w:szCs w:val="20"/>
              </w:rPr>
              <w:t>[</w:t>
            </w:r>
            <w:r w:rsidR="00B21A64" w:rsidRPr="00B21A64">
              <w:rPr>
                <w:rFonts w:ascii="Arial" w:hAnsi="Arial" w:cs="Arial"/>
                <w:sz w:val="20"/>
                <w:szCs w:val="20"/>
              </w:rPr>
              <w:t>for example, single tone transmission</w:t>
            </w:r>
            <w:r w:rsidR="003524F9">
              <w:rPr>
                <w:rFonts w:ascii="Arial" w:hAnsi="Arial" w:cs="Arial"/>
                <w:sz w:val="20"/>
                <w:szCs w:val="20"/>
              </w:rPr>
              <w:t>]</w:t>
            </w:r>
            <w:r w:rsidRPr="00FD3488">
              <w:rPr>
                <w:rFonts w:ascii="Arial" w:hAnsi="Arial" w:cs="Arial"/>
                <w:sz w:val="20"/>
                <w:szCs w:val="20"/>
              </w:rPr>
              <w:t xml:space="preserve"> is introduced after the outlying subcarrier is punctured or rate-matched around.</w:t>
            </w:r>
          </w:p>
        </w:tc>
      </w:tr>
      <w:tr w:rsidR="0076022E" w:rsidRPr="008A1717" w14:paraId="5E8E6701" w14:textId="77777777" w:rsidTr="00F04697">
        <w:tc>
          <w:tcPr>
            <w:tcW w:w="2122" w:type="dxa"/>
          </w:tcPr>
          <w:p w14:paraId="3FE3F417"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_Ref529801589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[4]</w:t>
            </w:r>
            <w:r>
              <w:rPr>
                <w:rFonts w:ascii="Arial" w:hAnsi="Arial" w:cs="Arial"/>
                <w:b/>
                <w:sz w:val="20"/>
                <w:lang w:val="en-GB" w:eastAsia="zh-CN"/>
              </w:rPr>
              <w:fldChar w:fldCharType="end"/>
            </w:r>
            <w:r>
              <w:rPr>
                <w:rFonts w:ascii="Arial" w:hAnsi="Arial" w:cs="Arial"/>
                <w:b/>
                <w:sz w:val="20"/>
                <w:lang w:val="en-GB" w:eastAsia="zh-CN"/>
              </w:rPr>
              <w:t xml:space="preserve"> Nokia, Nokia Shanghai Bell</w:t>
            </w:r>
          </w:p>
        </w:tc>
        <w:tc>
          <w:tcPr>
            <w:tcW w:w="7507" w:type="dxa"/>
          </w:tcPr>
          <w:p w14:paraId="2717FE95" w14:textId="69BBF8C6" w:rsidR="0076022E" w:rsidRPr="008A1717" w:rsidRDefault="00E722A0" w:rsidP="00F04697">
            <w:pPr>
              <w:rPr>
                <w:rFonts w:ascii="Arial" w:hAnsi="Arial" w:cs="Arial"/>
                <w:sz w:val="20"/>
                <w:lang w:val="en-GB" w:eastAsia="zh-CN"/>
              </w:rPr>
            </w:pPr>
            <w:r w:rsidRPr="00E722A0">
              <w:rPr>
                <w:rFonts w:ascii="Arial" w:hAnsi="Arial" w:cs="Arial"/>
                <w:sz w:val="20"/>
                <w:lang w:val="en-GB" w:eastAsia="zh-CN"/>
              </w:rPr>
              <w:t>Observation: Puncturing may be considered to minimize performance impact from NR PRB misalignment.</w:t>
            </w:r>
          </w:p>
        </w:tc>
      </w:tr>
      <w:tr w:rsidR="0076022E" w:rsidRPr="008A1717" w14:paraId="74650C5D" w14:textId="77777777" w:rsidTr="00F04697">
        <w:tc>
          <w:tcPr>
            <w:tcW w:w="2122" w:type="dxa"/>
          </w:tcPr>
          <w:p w14:paraId="18127924"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_Ref5045604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[5]</w:t>
            </w:r>
            <w:r>
              <w:rPr>
                <w:rFonts w:ascii="Arial" w:hAnsi="Arial" w:cs="Arial"/>
                <w:b/>
                <w:sz w:val="20"/>
                <w:lang w:val="en-GB" w:eastAsia="zh-CN"/>
              </w:rPr>
              <w:fldChar w:fldCharType="end"/>
            </w:r>
            <w:r>
              <w:rPr>
                <w:rFonts w:ascii="Arial" w:hAnsi="Arial" w:cs="Arial"/>
                <w:b/>
                <w:sz w:val="20"/>
                <w:lang w:val="en-GB" w:eastAsia="zh-CN"/>
              </w:rPr>
              <w:t xml:space="preserve"> ZTE</w:t>
            </w:r>
          </w:p>
        </w:tc>
        <w:tc>
          <w:tcPr>
            <w:tcW w:w="7507" w:type="dxa"/>
          </w:tcPr>
          <w:p w14:paraId="3C6D70E8" w14:textId="61BEFE9A" w:rsidR="0076022E" w:rsidRDefault="002E6FAA" w:rsidP="00F04697">
            <w:pPr>
              <w:rPr>
                <w:rFonts w:ascii="Arial" w:hAnsi="Arial" w:cs="Arial"/>
                <w:sz w:val="20"/>
                <w:lang w:val="en-GB" w:eastAsia="zh-CN"/>
              </w:rPr>
            </w:pPr>
            <w:r w:rsidRPr="002E6FAA">
              <w:rPr>
                <w:rFonts w:ascii="Arial" w:hAnsi="Arial" w:cs="Arial"/>
                <w:sz w:val="20"/>
                <w:lang w:val="en-GB" w:eastAsia="zh-CN"/>
              </w:rPr>
              <w:t>Observation: Rate-matching around the outlying subcarrier cannot be backward compatible with legacy LTE-MTC UEs.</w:t>
            </w:r>
          </w:p>
          <w:p w14:paraId="28B9DF73" w14:textId="0EA7FA48" w:rsidR="002E6FAA" w:rsidRDefault="002E6FAA" w:rsidP="00F04697">
            <w:pPr>
              <w:rPr>
                <w:rFonts w:ascii="Arial" w:hAnsi="Arial" w:cs="Arial"/>
                <w:sz w:val="20"/>
                <w:lang w:val="en-GB" w:eastAsia="zh-CN"/>
              </w:rPr>
            </w:pPr>
            <w:r w:rsidRPr="002E6FAA">
              <w:rPr>
                <w:rFonts w:ascii="Arial" w:hAnsi="Arial" w:cs="Arial"/>
                <w:sz w:val="20"/>
                <w:lang w:val="en-GB" w:eastAsia="zh-CN"/>
              </w:rPr>
              <w:t>Observation: For PDSCH transmission with single PRB allocation, the performance impact is relatively large if the LTE-MTC UE does not know that the outlying subcarrier is punctured.</w:t>
            </w:r>
          </w:p>
          <w:p w14:paraId="04D62B95" w14:textId="7B7FC235" w:rsidR="002E6FAA" w:rsidRDefault="002E6FAA" w:rsidP="00F04697">
            <w:pPr>
              <w:rPr>
                <w:rFonts w:ascii="Arial" w:hAnsi="Arial" w:cs="Arial"/>
                <w:sz w:val="20"/>
                <w:lang w:val="en-GB" w:eastAsia="zh-CN"/>
              </w:rPr>
            </w:pPr>
            <w:r w:rsidRPr="002E6FAA">
              <w:rPr>
                <w:rFonts w:ascii="Arial" w:hAnsi="Arial" w:cs="Arial"/>
                <w:sz w:val="20"/>
                <w:lang w:val="en-GB" w:eastAsia="zh-CN"/>
              </w:rPr>
              <w:t>Observation: When continuous PRBs are allocated to multiple LTE-MTC transmissions, not all outlying subcarriers need to be punctured. In this case, dynamic DCI signalling can accurately indicate whether the outlying subcarrier is used for a given LTE-MTC PDSCH transmission.</w:t>
            </w:r>
          </w:p>
          <w:p w14:paraId="0B653402" w14:textId="167EE871" w:rsidR="002E6FAA" w:rsidRDefault="002E6FAA" w:rsidP="00F04697">
            <w:pPr>
              <w:rPr>
                <w:rFonts w:ascii="Arial" w:hAnsi="Arial" w:cs="Arial"/>
                <w:sz w:val="20"/>
                <w:lang w:val="en-GB" w:eastAsia="zh-CN"/>
              </w:rPr>
            </w:pPr>
            <w:r w:rsidRPr="002E6FAA">
              <w:rPr>
                <w:rFonts w:ascii="Arial" w:hAnsi="Arial" w:cs="Arial"/>
                <w:sz w:val="20"/>
                <w:lang w:val="en-GB" w:eastAsia="zh-CN"/>
              </w:rPr>
              <w:t>Proposal: For Rel-16 LTE-MTC UEs, when the feature of puncturing outlying subcarrier is semi-statically configured, dynamic DCI signalling can be used to indicate whether to puncture the REs at the outlying subcarrier for PDSCH channel.</w:t>
            </w:r>
          </w:p>
          <w:p w14:paraId="17BE2383" w14:textId="4F0DC101" w:rsidR="002C1520" w:rsidRPr="008A1717" w:rsidRDefault="002C1520" w:rsidP="00F04697">
            <w:pPr>
              <w:rPr>
                <w:rFonts w:ascii="Arial" w:hAnsi="Arial" w:cs="Arial"/>
                <w:sz w:val="20"/>
                <w:lang w:val="en-GB" w:eastAsia="zh-CN"/>
              </w:rPr>
            </w:pPr>
            <w:r w:rsidRPr="002C1520">
              <w:rPr>
                <w:rFonts w:ascii="Arial" w:hAnsi="Arial" w:cs="Arial"/>
                <w:sz w:val="20"/>
                <w:lang w:val="en-GB" w:eastAsia="zh-CN"/>
              </w:rPr>
              <w:t>Proposal: For MPDCCH channel, the REs at the outlying subcarrier due to LTE-MTC DC subcarrier is always punctured once the feature of puncturing at the outlying subcarrier is semi-statically configured.</w:t>
            </w:r>
          </w:p>
        </w:tc>
      </w:tr>
      <w:tr w:rsidR="0076022E" w:rsidRPr="007C2B1D" w14:paraId="6DE8B542" w14:textId="77777777" w:rsidTr="00F04697">
        <w:tc>
          <w:tcPr>
            <w:tcW w:w="2122" w:type="dxa"/>
          </w:tcPr>
          <w:p w14:paraId="685E30D5"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_Ref5044500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[7]</w:t>
            </w:r>
            <w:r>
              <w:rPr>
                <w:rFonts w:ascii="Arial" w:hAnsi="Arial" w:cs="Arial"/>
                <w:b/>
                <w:sz w:val="20"/>
                <w:lang w:val="en-GB" w:eastAsia="zh-CN"/>
              </w:rPr>
              <w:fldChar w:fldCharType="end"/>
            </w:r>
            <w:r>
              <w:rPr>
                <w:rFonts w:ascii="Arial" w:hAnsi="Arial" w:cs="Arial"/>
                <w:b/>
                <w:sz w:val="20"/>
                <w:lang w:val="en-GB" w:eastAsia="zh-CN"/>
              </w:rPr>
              <w:t xml:space="preserve"> LG Electronics</w:t>
            </w:r>
          </w:p>
        </w:tc>
        <w:tc>
          <w:tcPr>
            <w:tcW w:w="7507" w:type="dxa"/>
          </w:tcPr>
          <w:p w14:paraId="7E6DB4F0" w14:textId="188C7DBC" w:rsidR="00430FE5" w:rsidRPr="00430FE5" w:rsidRDefault="00430FE5" w:rsidP="00430FE5">
            <w:pPr>
              <w:rPr>
                <w:rFonts w:ascii="Arial" w:hAnsi="Arial" w:cs="Arial"/>
                <w:sz w:val="20"/>
                <w:szCs w:val="20"/>
              </w:rPr>
            </w:pPr>
            <w:r w:rsidRPr="00430FE5">
              <w:rPr>
                <w:rFonts w:ascii="Arial" w:hAnsi="Arial" w:cs="Arial"/>
                <w:sz w:val="20"/>
                <w:szCs w:val="20"/>
              </w:rPr>
              <w:t>Proposal: When eMTC system is embedded within NR system bandwidth, the outlying subcarriers</w:t>
            </w:r>
            <w:r>
              <w:rPr>
                <w:rFonts w:ascii="Arial" w:hAnsi="Arial" w:cs="Arial"/>
                <w:sz w:val="20"/>
                <w:szCs w:val="20"/>
              </w:rPr>
              <w:t xml:space="preserve"> </w:t>
            </w:r>
            <w:r w:rsidRPr="00430FE5">
              <w:rPr>
                <w:rFonts w:ascii="Arial" w:hAnsi="Arial" w:cs="Arial"/>
                <w:sz w:val="20"/>
                <w:szCs w:val="20"/>
              </w:rPr>
              <w:t>(i.e., the outmost subcarriers in one of either the lowermost or uppermost eMTC PRB crossing the NR PRB grid) are not used for downlink transmissions except CRS</w:t>
            </w:r>
          </w:p>
          <w:p w14:paraId="51C35D90" w14:textId="3BE294DF" w:rsidR="00430FE5" w:rsidRPr="00430FE5" w:rsidRDefault="00430FE5" w:rsidP="00430FE5">
            <w:pPr>
              <w:pStyle w:val="ListParagraph"/>
              <w:numPr>
                <w:ilvl w:val="0"/>
                <w:numId w:val="46"/>
              </w:numPr>
              <w:rPr>
                <w:rFonts w:ascii="Arial" w:hAnsi="Arial" w:cs="Arial"/>
                <w:sz w:val="20"/>
                <w:szCs w:val="20"/>
              </w:rPr>
            </w:pPr>
            <w:r w:rsidRPr="00430FE5">
              <w:rPr>
                <w:rFonts w:ascii="Arial" w:hAnsi="Arial" w:cs="Arial"/>
                <w:sz w:val="20"/>
                <w:szCs w:val="20"/>
              </w:rPr>
              <w:t>For downlink channels (e.g., MPDCCH and/or PDSCH) that can be received by pre-Rel.16 UEs, REs at the outlying subcarrier are punctured</w:t>
            </w:r>
          </w:p>
          <w:p w14:paraId="4EE93940" w14:textId="0EF11F62" w:rsidR="00430FE5" w:rsidRPr="00430FE5" w:rsidRDefault="00430FE5" w:rsidP="00430FE5">
            <w:pPr>
              <w:pStyle w:val="ListParagraph"/>
              <w:numPr>
                <w:ilvl w:val="0"/>
                <w:numId w:val="46"/>
              </w:numPr>
              <w:rPr>
                <w:rFonts w:ascii="Arial" w:hAnsi="Arial" w:cs="Arial"/>
                <w:sz w:val="20"/>
                <w:szCs w:val="20"/>
              </w:rPr>
            </w:pPr>
            <w:r w:rsidRPr="00430FE5">
              <w:rPr>
                <w:rFonts w:ascii="Arial" w:hAnsi="Arial" w:cs="Arial"/>
                <w:sz w:val="20"/>
                <w:szCs w:val="20"/>
              </w:rPr>
              <w:t>For downlink channels (e.g., MPDCCH and/or PDSCH) that will be received only by post-Rel.15 UEs, the downlink channels are rate-matched around the outlying subcarrier</w:t>
            </w:r>
          </w:p>
          <w:p w14:paraId="008448C7" w14:textId="64FA5E29" w:rsidR="0076022E" w:rsidRPr="00430FE5" w:rsidRDefault="00430FE5" w:rsidP="00430FE5">
            <w:pPr>
              <w:pStyle w:val="ListParagraph"/>
              <w:numPr>
                <w:ilvl w:val="0"/>
                <w:numId w:val="46"/>
              </w:numPr>
              <w:rPr>
                <w:rFonts w:ascii="Arial" w:hAnsi="Arial" w:cs="Arial"/>
                <w:sz w:val="20"/>
                <w:szCs w:val="20"/>
              </w:rPr>
            </w:pPr>
            <w:r w:rsidRPr="00430FE5">
              <w:rPr>
                <w:rFonts w:ascii="Arial" w:hAnsi="Arial" w:cs="Arial"/>
                <w:sz w:val="20"/>
                <w:szCs w:val="20"/>
              </w:rPr>
              <w:t>FFS on whether and how post-Rel.15 eMTC UEs are aware of whether or not the outlying subcarriers are used for downlink transmission</w:t>
            </w:r>
          </w:p>
        </w:tc>
      </w:tr>
    </w:tbl>
    <w:p w14:paraId="0A356649" w14:textId="094BDC81" w:rsidR="009306DC" w:rsidRDefault="009306DC" w:rsidP="0040154B">
      <w:pPr>
        <w:pStyle w:val="Reference"/>
        <w:numPr>
          <w:ilvl w:val="0"/>
          <w:numId w:val="0"/>
        </w:numPr>
        <w:ind w:left="567" w:hanging="567"/>
        <w:rPr>
          <w:rFonts w:ascii="Arial" w:hAnsi="Arial" w:cs="Arial"/>
          <w:sz w:val="20"/>
        </w:rPr>
      </w:pPr>
    </w:p>
    <w:p w14:paraId="5A1F80B1" w14:textId="5DA7F513" w:rsidR="008312A5" w:rsidRDefault="003A21A3" w:rsidP="008312A5">
      <w:pPr>
        <w:pStyle w:val="Heading2"/>
      </w:pPr>
      <w:r>
        <w:t>Placing LTE-M subcarriers in</w:t>
      </w:r>
      <w:r w:rsidR="008312A5">
        <w:t xml:space="preserve"> NR guard band</w:t>
      </w:r>
    </w:p>
    <w:p w14:paraId="27C2C42F" w14:textId="52B22ABB" w:rsidR="000101FB" w:rsidRDefault="00246EF1" w:rsidP="000101FB">
      <w:pPr>
        <w:rPr>
          <w:rFonts w:ascii="Arial" w:hAnsi="Arial" w:cs="Arial"/>
          <w:sz w:val="20"/>
        </w:rPr>
      </w:pPr>
      <w:r>
        <w:rPr>
          <w:rFonts w:ascii="Arial" w:hAnsi="Arial" w:cs="Arial"/>
          <w:sz w:val="20"/>
        </w:rPr>
        <w:t>The contributions listed in the table below</w:t>
      </w:r>
      <w:r w:rsidR="000101FB">
        <w:rPr>
          <w:rFonts w:ascii="Arial" w:hAnsi="Arial" w:cs="Arial"/>
          <w:sz w:val="20"/>
        </w:rPr>
        <w:t xml:space="preserve"> discuss use of NR guard band and note that the potential study of the feasibility of this would fall under RAN4 responsibility.</w:t>
      </w:r>
    </w:p>
    <w:p w14:paraId="0B1A6C98" w14:textId="0FC4AA69" w:rsidR="00013659" w:rsidRPr="000345B6" w:rsidRDefault="00013659" w:rsidP="00013659">
      <w:pPr>
        <w:pStyle w:val="BodyText"/>
        <w:rPr>
          <w:rFonts w:ascii="Arial" w:hAnsi="Arial" w:cs="Arial"/>
          <w:sz w:val="20"/>
          <w:highlight w:val="yellow"/>
        </w:rPr>
      </w:pPr>
      <w:r w:rsidRPr="000345B6">
        <w:rPr>
          <w:rFonts w:ascii="Arial" w:hAnsi="Arial" w:cs="Arial"/>
          <w:sz w:val="20"/>
          <w:highlight w:val="yellow"/>
        </w:rPr>
        <w:t>Feature lead recommendation:</w:t>
      </w:r>
    </w:p>
    <w:p w14:paraId="06CA318D" w14:textId="47358570" w:rsidR="00013659" w:rsidRDefault="00FD0CAE" w:rsidP="00013659">
      <w:pPr>
        <w:pStyle w:val="BodyText"/>
        <w:numPr>
          <w:ilvl w:val="0"/>
          <w:numId w:val="29"/>
        </w:numPr>
        <w:rPr>
          <w:rFonts w:ascii="Arial" w:hAnsi="Arial" w:cs="Arial"/>
          <w:sz w:val="20"/>
        </w:rPr>
      </w:pPr>
      <w:r>
        <w:rPr>
          <w:rFonts w:ascii="Arial" w:hAnsi="Arial" w:cs="Arial"/>
          <w:sz w:val="20"/>
        </w:rPr>
        <w:t xml:space="preserve">RAN1 does not further consider </w:t>
      </w:r>
      <w:r w:rsidR="00FE1477">
        <w:rPr>
          <w:rFonts w:ascii="Arial" w:hAnsi="Arial" w:cs="Arial"/>
          <w:sz w:val="20"/>
        </w:rPr>
        <w:t>placement</w:t>
      </w:r>
      <w:r w:rsidR="00B05477">
        <w:rPr>
          <w:rFonts w:ascii="Arial" w:hAnsi="Arial" w:cs="Arial"/>
          <w:sz w:val="20"/>
        </w:rPr>
        <w:t xml:space="preserve"> of</w:t>
      </w:r>
      <w:r w:rsidR="00106BCB">
        <w:rPr>
          <w:rFonts w:ascii="Arial" w:hAnsi="Arial" w:cs="Arial"/>
          <w:sz w:val="20"/>
        </w:rPr>
        <w:t xml:space="preserve"> LTE-M</w:t>
      </w:r>
      <w:r w:rsidR="007C3E70">
        <w:rPr>
          <w:rFonts w:ascii="Arial" w:hAnsi="Arial" w:cs="Arial"/>
          <w:sz w:val="20"/>
        </w:rPr>
        <w:t>TC</w:t>
      </w:r>
      <w:r w:rsidR="00106BCB">
        <w:rPr>
          <w:rFonts w:ascii="Arial" w:hAnsi="Arial" w:cs="Arial"/>
          <w:sz w:val="20"/>
        </w:rPr>
        <w:t xml:space="preserve"> subcarriers in</w:t>
      </w:r>
      <w:r w:rsidR="00B05477">
        <w:rPr>
          <w:rFonts w:ascii="Arial" w:hAnsi="Arial" w:cs="Arial"/>
          <w:sz w:val="20"/>
        </w:rPr>
        <w:t>to</w:t>
      </w:r>
      <w:r w:rsidR="00106BCB">
        <w:rPr>
          <w:rFonts w:ascii="Arial" w:hAnsi="Arial" w:cs="Arial"/>
          <w:sz w:val="20"/>
        </w:rPr>
        <w:t xml:space="preserve"> </w:t>
      </w:r>
      <w:r w:rsidR="008A7B39">
        <w:rPr>
          <w:rFonts w:ascii="Arial" w:hAnsi="Arial" w:cs="Arial"/>
          <w:sz w:val="20"/>
        </w:rPr>
        <w:t xml:space="preserve">NR guard </w:t>
      </w:r>
      <w:r>
        <w:rPr>
          <w:rFonts w:ascii="Arial" w:hAnsi="Arial" w:cs="Arial"/>
          <w:sz w:val="20"/>
        </w:rPr>
        <w:t xml:space="preserve">band </w:t>
      </w:r>
      <w:r w:rsidR="0020374B">
        <w:rPr>
          <w:rFonts w:ascii="Arial" w:hAnsi="Arial" w:cs="Arial"/>
          <w:sz w:val="20"/>
        </w:rPr>
        <w:t>since it has no RAN1 specification impact</w:t>
      </w:r>
      <w:r w:rsidR="001E2198">
        <w:rPr>
          <w:rFonts w:ascii="Arial" w:hAnsi="Arial" w:cs="Arial"/>
          <w:sz w:val="20"/>
        </w:rPr>
        <w:t>.</w:t>
      </w:r>
    </w:p>
    <w:tbl>
      <w:tblPr>
        <w:tblStyle w:val="TableGrid"/>
        <w:tblW w:w="0" w:type="auto"/>
        <w:tblLook w:val="04A0" w:firstRow="1" w:lastRow="0" w:firstColumn="1" w:lastColumn="0" w:noHBand="0" w:noVBand="1"/>
      </w:tblPr>
      <w:tblGrid>
        <w:gridCol w:w="2122"/>
        <w:gridCol w:w="7507"/>
      </w:tblGrid>
      <w:tr w:rsidR="0076022E" w:rsidRPr="008A1717" w14:paraId="1D0F2369" w14:textId="77777777" w:rsidTr="00F04697">
        <w:tc>
          <w:tcPr>
            <w:tcW w:w="2122" w:type="dxa"/>
          </w:tcPr>
          <w:p w14:paraId="257E82B0"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lastRenderedPageBreak/>
              <w:fldChar w:fldCharType="begin"/>
            </w:r>
            <w:r>
              <w:rPr>
                <w:rFonts w:ascii="Arial" w:hAnsi="Arial" w:cs="Arial"/>
                <w:b/>
                <w:sz w:val="20"/>
                <w:lang w:val="en-GB" w:eastAsia="zh-CN"/>
              </w:rPr>
              <w:instrText xml:space="preserve"> REF _Ref1595240 \r \h  \* MERGEFORMAT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[2]</w:t>
            </w:r>
            <w:r>
              <w:rPr>
                <w:rFonts w:ascii="Arial" w:hAnsi="Arial" w:cs="Arial"/>
                <w:b/>
                <w:sz w:val="20"/>
                <w:lang w:val="en-GB" w:eastAsia="zh-CN"/>
              </w:rPr>
              <w:fldChar w:fldCharType="end"/>
            </w:r>
            <w:r>
              <w:rPr>
                <w:rFonts w:ascii="Arial" w:hAnsi="Arial" w:cs="Arial"/>
                <w:b/>
                <w:sz w:val="20"/>
                <w:lang w:val="en-GB" w:eastAsia="zh-CN"/>
              </w:rPr>
              <w:t xml:space="preserve"> Ericsson</w:t>
            </w:r>
          </w:p>
        </w:tc>
        <w:tc>
          <w:tcPr>
            <w:tcW w:w="7507" w:type="dxa"/>
          </w:tcPr>
          <w:p w14:paraId="40896C36" w14:textId="7EA8804A" w:rsidR="00742B10" w:rsidRPr="00742B10" w:rsidRDefault="00742B10" w:rsidP="00742B10">
            <w:pPr>
              <w:rPr>
                <w:rFonts w:ascii="Arial" w:hAnsi="Arial" w:cs="Arial"/>
                <w:sz w:val="20"/>
                <w:lang w:val="en-GB" w:eastAsia="zh-CN"/>
              </w:rPr>
            </w:pPr>
            <w:r w:rsidRPr="00742B10">
              <w:rPr>
                <w:rFonts w:ascii="Arial" w:hAnsi="Arial" w:cs="Arial"/>
                <w:sz w:val="20"/>
                <w:lang w:val="en-GB" w:eastAsia="zh-CN"/>
              </w:rPr>
              <w:t>Observation</w:t>
            </w:r>
            <w:r>
              <w:rPr>
                <w:rFonts w:ascii="Arial" w:hAnsi="Arial" w:cs="Arial"/>
                <w:sz w:val="20"/>
                <w:lang w:val="en-GB" w:eastAsia="zh-CN"/>
              </w:rPr>
              <w:t xml:space="preserve">: </w:t>
            </w:r>
            <w:r w:rsidRPr="00742B10">
              <w:rPr>
                <w:rFonts w:ascii="Arial" w:hAnsi="Arial" w:cs="Arial"/>
                <w:sz w:val="20"/>
                <w:lang w:val="en-GB" w:eastAsia="zh-CN"/>
              </w:rPr>
              <w:t>To maximize the resource utilization and minimize the impact of RB misalignment between NR and LTE-M, using a portion of NR guard band can be more promising than the puncturing and rate matching methods.</w:t>
            </w:r>
          </w:p>
          <w:p w14:paraId="73092104" w14:textId="626ADF1D" w:rsidR="00742B10" w:rsidRPr="00742B10" w:rsidRDefault="00742B10" w:rsidP="00742B10">
            <w:pPr>
              <w:rPr>
                <w:rFonts w:ascii="Arial" w:hAnsi="Arial" w:cs="Arial"/>
                <w:sz w:val="20"/>
                <w:lang w:val="en-GB" w:eastAsia="zh-CN"/>
              </w:rPr>
            </w:pPr>
            <w:r w:rsidRPr="00742B10">
              <w:rPr>
                <w:rFonts w:ascii="Arial" w:hAnsi="Arial" w:cs="Arial"/>
                <w:sz w:val="20"/>
                <w:lang w:val="en-GB" w:eastAsia="zh-CN"/>
              </w:rPr>
              <w:t>Observation</w:t>
            </w:r>
            <w:r>
              <w:rPr>
                <w:rFonts w:ascii="Arial" w:hAnsi="Arial" w:cs="Arial"/>
                <w:sz w:val="20"/>
                <w:lang w:val="en-GB" w:eastAsia="zh-CN"/>
              </w:rPr>
              <w:t xml:space="preserve">: </w:t>
            </w:r>
            <w:r w:rsidRPr="00742B10">
              <w:rPr>
                <w:rFonts w:ascii="Arial" w:hAnsi="Arial" w:cs="Arial"/>
                <w:sz w:val="20"/>
                <w:lang w:val="en-GB" w:eastAsia="zh-CN"/>
              </w:rPr>
              <w:t xml:space="preserve">For NR system bandwidths 10, 15, and 20 MHz, the numbers of LTE-M subcarriers that need to be placed in NR guard band are, respectively, 4, 2, and 1.  These options are particularly of interest as the minimum amount of NR guardband is occupied. </w:t>
            </w:r>
          </w:p>
          <w:p w14:paraId="0168659F" w14:textId="5C100825" w:rsidR="0076022E" w:rsidRPr="008A1717" w:rsidRDefault="00742B10" w:rsidP="00742B10">
            <w:pPr>
              <w:rPr>
                <w:rFonts w:ascii="Arial" w:hAnsi="Arial" w:cs="Arial"/>
                <w:sz w:val="20"/>
                <w:lang w:val="en-GB" w:eastAsia="zh-CN"/>
              </w:rPr>
            </w:pPr>
            <w:r w:rsidRPr="00742B10">
              <w:rPr>
                <w:rFonts w:ascii="Arial" w:hAnsi="Arial" w:cs="Arial"/>
                <w:sz w:val="20"/>
                <w:lang w:val="en-GB" w:eastAsia="zh-CN"/>
              </w:rPr>
              <w:t>Observation</w:t>
            </w:r>
            <w:r>
              <w:rPr>
                <w:rFonts w:ascii="Arial" w:hAnsi="Arial" w:cs="Arial"/>
                <w:sz w:val="20"/>
                <w:lang w:val="en-GB" w:eastAsia="zh-CN"/>
              </w:rPr>
              <w:t xml:space="preserve">: </w:t>
            </w:r>
            <w:r w:rsidRPr="00742B10">
              <w:rPr>
                <w:rFonts w:ascii="Arial" w:hAnsi="Arial" w:cs="Arial"/>
                <w:sz w:val="20"/>
                <w:lang w:val="en-GB" w:eastAsia="zh-CN"/>
              </w:rPr>
              <w:t>By placing more LTE-M subcarriers in NR guardband fewer NR RBs need to be used for LTE-M. This, however, leads to a higher RF complexity.</w:t>
            </w:r>
          </w:p>
        </w:tc>
      </w:tr>
      <w:tr w:rsidR="0076022E" w:rsidRPr="008A1717" w14:paraId="6E8A209B" w14:textId="77777777" w:rsidTr="00F04697">
        <w:tc>
          <w:tcPr>
            <w:tcW w:w="2122" w:type="dxa"/>
          </w:tcPr>
          <w:p w14:paraId="68CE31C9"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_Ref5045587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[3]</w:t>
            </w:r>
            <w:r>
              <w:rPr>
                <w:rFonts w:ascii="Arial" w:hAnsi="Arial" w:cs="Arial"/>
                <w:b/>
                <w:sz w:val="20"/>
                <w:lang w:val="en-GB" w:eastAsia="zh-CN"/>
              </w:rPr>
              <w:fldChar w:fldCharType="end"/>
            </w:r>
            <w:r>
              <w:rPr>
                <w:rFonts w:ascii="Arial" w:hAnsi="Arial" w:cs="Arial"/>
                <w:b/>
                <w:sz w:val="20"/>
                <w:lang w:val="en-GB" w:eastAsia="zh-CN"/>
              </w:rPr>
              <w:t xml:space="preserve"> Huawei, HiSilicon</w:t>
            </w:r>
          </w:p>
        </w:tc>
        <w:tc>
          <w:tcPr>
            <w:tcW w:w="7507" w:type="dxa"/>
          </w:tcPr>
          <w:p w14:paraId="4958CBAA" w14:textId="2C49F8EF" w:rsidR="0076022E" w:rsidRPr="00D9344F" w:rsidRDefault="00CC2E3B" w:rsidP="00F04697">
            <w:pPr>
              <w:pStyle w:val="BodyText"/>
              <w:rPr>
                <w:rFonts w:ascii="Arial" w:hAnsi="Arial" w:cs="Arial"/>
                <w:sz w:val="20"/>
                <w:szCs w:val="20"/>
              </w:rPr>
            </w:pPr>
            <w:r w:rsidRPr="00CC2E3B">
              <w:rPr>
                <w:rFonts w:ascii="Arial" w:hAnsi="Arial" w:cs="Arial"/>
                <w:sz w:val="20"/>
                <w:szCs w:val="20"/>
              </w:rPr>
              <w:t>In our view, using part of the NR guard band to transmit eMTC data may have large impact on the performance of both NR and eMTC UEs due to the RAN4 requirements. In addition, due to the limited available frequency raster positions, the guard band resources that can be used is very limited. So further evaluations are needed.</w:t>
            </w:r>
          </w:p>
        </w:tc>
      </w:tr>
      <w:tr w:rsidR="0076022E" w:rsidRPr="008A1717" w14:paraId="46439660" w14:textId="77777777" w:rsidTr="00F04697">
        <w:tc>
          <w:tcPr>
            <w:tcW w:w="2122" w:type="dxa"/>
          </w:tcPr>
          <w:p w14:paraId="4411D112"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_Ref529801589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[4]</w:t>
            </w:r>
            <w:r>
              <w:rPr>
                <w:rFonts w:ascii="Arial" w:hAnsi="Arial" w:cs="Arial"/>
                <w:b/>
                <w:sz w:val="20"/>
                <w:lang w:val="en-GB" w:eastAsia="zh-CN"/>
              </w:rPr>
              <w:fldChar w:fldCharType="end"/>
            </w:r>
            <w:r>
              <w:rPr>
                <w:rFonts w:ascii="Arial" w:hAnsi="Arial" w:cs="Arial"/>
                <w:b/>
                <w:sz w:val="20"/>
                <w:lang w:val="en-GB" w:eastAsia="zh-CN"/>
              </w:rPr>
              <w:t xml:space="preserve"> Nokia, Nokia Shanghai Bell</w:t>
            </w:r>
          </w:p>
        </w:tc>
        <w:tc>
          <w:tcPr>
            <w:tcW w:w="7507" w:type="dxa"/>
          </w:tcPr>
          <w:p w14:paraId="7A8E75A1" w14:textId="070CB2C4" w:rsidR="0076022E" w:rsidRPr="008A1717" w:rsidRDefault="00CC2E3B" w:rsidP="00F04697">
            <w:pPr>
              <w:rPr>
                <w:rFonts w:ascii="Arial" w:hAnsi="Arial" w:cs="Arial"/>
                <w:sz w:val="20"/>
                <w:lang w:val="en-GB" w:eastAsia="zh-CN"/>
              </w:rPr>
            </w:pPr>
            <w:r w:rsidRPr="00CC2E3B">
              <w:rPr>
                <w:rFonts w:ascii="Arial" w:hAnsi="Arial" w:cs="Arial"/>
                <w:sz w:val="20"/>
                <w:lang w:val="en-GB" w:eastAsia="zh-CN"/>
              </w:rPr>
              <w:t xml:space="preserve">In this method, a portion of the eMTC bandwidth </w:t>
            </w:r>
            <w:proofErr w:type="gramStart"/>
            <w:r w:rsidRPr="00CC2E3B">
              <w:rPr>
                <w:rFonts w:ascii="Arial" w:hAnsi="Arial" w:cs="Arial"/>
                <w:sz w:val="20"/>
                <w:lang w:val="en-GB" w:eastAsia="zh-CN"/>
              </w:rPr>
              <w:t>is allowed to</w:t>
            </w:r>
            <w:proofErr w:type="gramEnd"/>
            <w:r w:rsidRPr="00CC2E3B">
              <w:rPr>
                <w:rFonts w:ascii="Arial" w:hAnsi="Arial" w:cs="Arial"/>
                <w:sz w:val="20"/>
                <w:lang w:val="en-GB" w:eastAsia="zh-CN"/>
              </w:rPr>
              <w:t xml:space="preserve"> be extended into the NR guardband. In addition to RAN4 coexistence issue, this would also limit the locations of the eMTC carrier placement (although in practice it may be beneficial to try to place the eMTC carrier as close to the edge as possible). This method, however, should be backward compatible and implemented without specification changes from RAN1 perspective. It is, however, outside the scope of RAN1.</w:t>
            </w:r>
          </w:p>
        </w:tc>
      </w:tr>
      <w:tr w:rsidR="0039570D" w:rsidRPr="00430FE5" w14:paraId="0B18F56A" w14:textId="77777777" w:rsidTr="0039570D">
        <w:tc>
          <w:tcPr>
            <w:tcW w:w="2122" w:type="dxa"/>
          </w:tcPr>
          <w:p w14:paraId="62FADD86" w14:textId="77777777" w:rsidR="0039570D" w:rsidRPr="008A1717" w:rsidRDefault="0039570D" w:rsidP="000C650C">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_Ref5044500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[7]</w:t>
            </w:r>
            <w:r>
              <w:rPr>
                <w:rFonts w:ascii="Arial" w:hAnsi="Arial" w:cs="Arial"/>
                <w:b/>
                <w:sz w:val="20"/>
                <w:lang w:val="en-GB" w:eastAsia="zh-CN"/>
              </w:rPr>
              <w:fldChar w:fldCharType="end"/>
            </w:r>
            <w:r>
              <w:rPr>
                <w:rFonts w:ascii="Arial" w:hAnsi="Arial" w:cs="Arial"/>
                <w:b/>
                <w:sz w:val="20"/>
                <w:lang w:val="en-GB" w:eastAsia="zh-CN"/>
              </w:rPr>
              <w:t xml:space="preserve"> LG Electronics</w:t>
            </w:r>
          </w:p>
        </w:tc>
        <w:tc>
          <w:tcPr>
            <w:tcW w:w="7507" w:type="dxa"/>
          </w:tcPr>
          <w:p w14:paraId="3979A76E" w14:textId="3C8FF209" w:rsidR="0039570D" w:rsidRPr="0039570D" w:rsidRDefault="0039570D" w:rsidP="0039570D">
            <w:pPr>
              <w:rPr>
                <w:rFonts w:ascii="Arial" w:hAnsi="Arial" w:cs="Arial"/>
                <w:sz w:val="20"/>
                <w:szCs w:val="20"/>
              </w:rPr>
            </w:pPr>
            <w:r>
              <w:rPr>
                <w:rFonts w:ascii="Arial" w:hAnsi="Arial" w:cs="Arial"/>
                <w:sz w:val="20"/>
                <w:szCs w:val="20"/>
              </w:rPr>
              <w:t>M</w:t>
            </w:r>
            <w:r w:rsidRPr="0039570D">
              <w:rPr>
                <w:rFonts w:ascii="Arial" w:hAnsi="Arial" w:cs="Arial"/>
                <w:sz w:val="20"/>
                <w:szCs w:val="20"/>
              </w:rPr>
              <w:t>ay have potential impacts on RAN4 or on which RAN4 investigation may have to be preceded before RAN1 discussion</w:t>
            </w:r>
          </w:p>
        </w:tc>
      </w:tr>
    </w:tbl>
    <w:p w14:paraId="02F26D6B" w14:textId="77777777" w:rsidR="000A4F6F" w:rsidRDefault="000A4F6F" w:rsidP="00BB2E70">
      <w:pPr>
        <w:pStyle w:val="Reference"/>
        <w:numPr>
          <w:ilvl w:val="0"/>
          <w:numId w:val="0"/>
        </w:numPr>
        <w:rPr>
          <w:rFonts w:ascii="Arial" w:hAnsi="Arial" w:cs="Arial"/>
          <w:sz w:val="20"/>
        </w:rPr>
      </w:pPr>
    </w:p>
    <w:p w14:paraId="5F7733D6" w14:textId="27DF984A" w:rsidR="008312A5" w:rsidRDefault="008312A5" w:rsidP="008312A5">
      <w:pPr>
        <w:pStyle w:val="Heading2"/>
      </w:pPr>
      <w:r>
        <w:t xml:space="preserve">Configurable </w:t>
      </w:r>
      <w:r w:rsidR="00BD2CF5">
        <w:t>LTE-M resource</w:t>
      </w:r>
      <w:r>
        <w:t xml:space="preserve"> </w:t>
      </w:r>
      <w:r w:rsidR="00BD2CF5">
        <w:t>block shift</w:t>
      </w:r>
    </w:p>
    <w:p w14:paraId="44F4BB0D" w14:textId="2CE45BE1" w:rsidR="00A447A5" w:rsidRDefault="009158BA" w:rsidP="00A447A5">
      <w:pPr>
        <w:rPr>
          <w:rFonts w:ascii="Arial" w:hAnsi="Arial" w:cs="Arial"/>
          <w:sz w:val="20"/>
        </w:rPr>
      </w:pPr>
      <w:r>
        <w:rPr>
          <w:rFonts w:ascii="Arial" w:hAnsi="Arial" w:cs="Arial"/>
          <w:sz w:val="20"/>
        </w:rPr>
        <w:t xml:space="preserve">The contributions listed in the table below </w:t>
      </w:r>
      <w:r w:rsidR="00A447A5">
        <w:rPr>
          <w:rFonts w:ascii="Arial" w:hAnsi="Arial" w:cs="Arial"/>
          <w:sz w:val="20"/>
        </w:rPr>
        <w:t xml:space="preserve">discuss introduction of a configurable </w:t>
      </w:r>
      <w:r w:rsidR="00BD2CF5">
        <w:rPr>
          <w:rFonts w:ascii="Arial" w:hAnsi="Arial" w:cs="Arial"/>
          <w:sz w:val="20"/>
        </w:rPr>
        <w:t>LTE-M resource block</w:t>
      </w:r>
      <w:r w:rsidR="00A447A5">
        <w:rPr>
          <w:rFonts w:ascii="Arial" w:hAnsi="Arial" w:cs="Arial"/>
          <w:sz w:val="20"/>
        </w:rPr>
        <w:t xml:space="preserve"> shift in order to achieve LTE-M </w:t>
      </w:r>
      <w:r w:rsidR="00BD2CF5">
        <w:rPr>
          <w:rFonts w:ascii="Arial" w:hAnsi="Arial" w:cs="Arial"/>
          <w:sz w:val="20"/>
        </w:rPr>
        <w:t>resource block</w:t>
      </w:r>
      <w:r w:rsidR="00A447A5">
        <w:rPr>
          <w:rFonts w:ascii="Arial" w:hAnsi="Arial" w:cs="Arial"/>
          <w:sz w:val="20"/>
        </w:rPr>
        <w:t xml:space="preserve"> alignment with N</w:t>
      </w:r>
      <w:r>
        <w:rPr>
          <w:rFonts w:ascii="Arial" w:hAnsi="Arial" w:cs="Arial"/>
          <w:sz w:val="20"/>
        </w:rPr>
        <w:t>R</w:t>
      </w:r>
      <w:r w:rsidR="00A447A5">
        <w:rPr>
          <w:rFonts w:ascii="Arial" w:hAnsi="Arial" w:cs="Arial"/>
          <w:sz w:val="20"/>
        </w:rPr>
        <w:t>.</w:t>
      </w:r>
    </w:p>
    <w:p w14:paraId="397DDCB0" w14:textId="77777777" w:rsidR="00B10321" w:rsidRPr="00DF475D" w:rsidRDefault="00B10321" w:rsidP="00B10321">
      <w:pPr>
        <w:pStyle w:val="BodyText"/>
        <w:rPr>
          <w:rFonts w:ascii="Arial" w:hAnsi="Arial" w:cs="Arial"/>
          <w:sz w:val="20"/>
          <w:highlight w:val="yellow"/>
        </w:rPr>
      </w:pPr>
      <w:r w:rsidRPr="00DF475D">
        <w:rPr>
          <w:rFonts w:ascii="Arial" w:hAnsi="Arial" w:cs="Arial"/>
          <w:sz w:val="20"/>
          <w:highlight w:val="yellow"/>
        </w:rPr>
        <w:t>Feature lead recommendation:</w:t>
      </w:r>
    </w:p>
    <w:p w14:paraId="46A3F356" w14:textId="222436DD" w:rsidR="005E53AB" w:rsidRDefault="00A212CA" w:rsidP="005E53AB">
      <w:pPr>
        <w:pStyle w:val="BodyText"/>
        <w:numPr>
          <w:ilvl w:val="0"/>
          <w:numId w:val="43"/>
        </w:numPr>
        <w:rPr>
          <w:rFonts w:ascii="Arial" w:hAnsi="Arial" w:cs="Arial"/>
          <w:sz w:val="20"/>
        </w:rPr>
      </w:pPr>
      <w:r>
        <w:rPr>
          <w:rFonts w:ascii="Arial" w:hAnsi="Arial" w:cs="Arial"/>
          <w:sz w:val="20"/>
        </w:rPr>
        <w:t xml:space="preserve">Do not further consider introduction of a configurable </w:t>
      </w:r>
      <w:r w:rsidR="00BD2CF5">
        <w:rPr>
          <w:rFonts w:ascii="Arial" w:hAnsi="Arial" w:cs="Arial"/>
          <w:sz w:val="20"/>
        </w:rPr>
        <w:t>LTE-M</w:t>
      </w:r>
      <w:r w:rsidR="007C3E70">
        <w:rPr>
          <w:rFonts w:ascii="Arial" w:hAnsi="Arial" w:cs="Arial"/>
          <w:sz w:val="20"/>
        </w:rPr>
        <w:t>TC</w:t>
      </w:r>
      <w:r w:rsidR="00BD2CF5">
        <w:rPr>
          <w:rFonts w:ascii="Arial" w:hAnsi="Arial" w:cs="Arial"/>
          <w:sz w:val="20"/>
        </w:rPr>
        <w:t xml:space="preserve"> resource block</w:t>
      </w:r>
      <w:r>
        <w:rPr>
          <w:rFonts w:ascii="Arial" w:hAnsi="Arial" w:cs="Arial"/>
          <w:sz w:val="20"/>
        </w:rPr>
        <w:t xml:space="preserve"> shift in Rel-16.</w:t>
      </w:r>
    </w:p>
    <w:tbl>
      <w:tblPr>
        <w:tblStyle w:val="TableGrid"/>
        <w:tblW w:w="0" w:type="auto"/>
        <w:tblLook w:val="04A0" w:firstRow="1" w:lastRow="0" w:firstColumn="1" w:lastColumn="0" w:noHBand="0" w:noVBand="1"/>
      </w:tblPr>
      <w:tblGrid>
        <w:gridCol w:w="2122"/>
        <w:gridCol w:w="7507"/>
      </w:tblGrid>
      <w:tr w:rsidR="0076022E" w:rsidRPr="008A1717" w14:paraId="55F766EA" w14:textId="77777777" w:rsidTr="00F04697">
        <w:tc>
          <w:tcPr>
            <w:tcW w:w="2122" w:type="dxa"/>
          </w:tcPr>
          <w:p w14:paraId="65FE2482"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_Ref1595240 \r \h  \* MERGEFORMAT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[2]</w:t>
            </w:r>
            <w:r>
              <w:rPr>
                <w:rFonts w:ascii="Arial" w:hAnsi="Arial" w:cs="Arial"/>
                <w:b/>
                <w:sz w:val="20"/>
                <w:lang w:val="en-GB" w:eastAsia="zh-CN"/>
              </w:rPr>
              <w:fldChar w:fldCharType="end"/>
            </w:r>
            <w:r>
              <w:rPr>
                <w:rFonts w:ascii="Arial" w:hAnsi="Arial" w:cs="Arial"/>
                <w:b/>
                <w:sz w:val="20"/>
                <w:lang w:val="en-GB" w:eastAsia="zh-CN"/>
              </w:rPr>
              <w:t xml:space="preserve"> Ericsson</w:t>
            </w:r>
          </w:p>
        </w:tc>
        <w:tc>
          <w:tcPr>
            <w:tcW w:w="7507" w:type="dxa"/>
          </w:tcPr>
          <w:p w14:paraId="7B5846EC" w14:textId="452DF334" w:rsidR="00A4231B" w:rsidRPr="00A4231B" w:rsidRDefault="00A4231B" w:rsidP="00A4231B">
            <w:pPr>
              <w:rPr>
                <w:rFonts w:ascii="Arial" w:hAnsi="Arial" w:cs="Arial"/>
                <w:sz w:val="20"/>
                <w:lang w:val="en-GB" w:eastAsia="zh-CN"/>
              </w:rPr>
            </w:pPr>
            <w:r w:rsidRPr="00A4231B">
              <w:rPr>
                <w:rFonts w:ascii="Arial" w:hAnsi="Arial" w:cs="Arial"/>
                <w:sz w:val="20"/>
                <w:lang w:val="en-GB" w:eastAsia="zh-CN"/>
              </w:rPr>
              <w:t>Observation</w:t>
            </w:r>
            <w:r>
              <w:rPr>
                <w:rFonts w:ascii="Arial" w:hAnsi="Arial" w:cs="Arial"/>
                <w:sz w:val="20"/>
                <w:lang w:val="en-GB" w:eastAsia="zh-CN"/>
              </w:rPr>
              <w:t xml:space="preserve">: </w:t>
            </w:r>
            <w:r w:rsidRPr="00A4231B">
              <w:rPr>
                <w:rFonts w:ascii="Arial" w:hAnsi="Arial" w:cs="Arial"/>
                <w:sz w:val="20"/>
                <w:lang w:val="en-GB" w:eastAsia="zh-CN"/>
              </w:rPr>
              <w:t>While a configurable RB shift for LTE-M can be beneficial for reducing the number of outlying subcarriers, it does not ensure a perfect RB alignment between NR and LTE-M and does not prevent the use of an extra NR RBs due to the presence of the LTE-M DC subcarrier.</w:t>
            </w:r>
          </w:p>
          <w:p w14:paraId="61CB7940" w14:textId="0CD73278" w:rsidR="0076022E" w:rsidRPr="008A1717" w:rsidRDefault="00A4231B" w:rsidP="00A4231B">
            <w:pPr>
              <w:rPr>
                <w:rFonts w:ascii="Arial" w:hAnsi="Arial" w:cs="Arial"/>
                <w:sz w:val="20"/>
                <w:lang w:val="en-GB" w:eastAsia="zh-CN"/>
              </w:rPr>
            </w:pPr>
            <w:r w:rsidRPr="00A4231B">
              <w:rPr>
                <w:rFonts w:ascii="Arial" w:hAnsi="Arial" w:cs="Arial"/>
                <w:sz w:val="20"/>
                <w:lang w:val="en-GB" w:eastAsia="zh-CN"/>
              </w:rPr>
              <w:t>Proposal</w:t>
            </w:r>
            <w:r>
              <w:rPr>
                <w:rFonts w:ascii="Arial" w:hAnsi="Arial" w:cs="Arial"/>
                <w:sz w:val="20"/>
                <w:lang w:val="en-GB" w:eastAsia="zh-CN"/>
              </w:rPr>
              <w:t xml:space="preserve">: </w:t>
            </w:r>
            <w:r w:rsidRPr="00A4231B">
              <w:rPr>
                <w:rFonts w:ascii="Arial" w:hAnsi="Arial" w:cs="Arial"/>
                <w:sz w:val="20"/>
                <w:lang w:val="en-GB" w:eastAsia="zh-CN"/>
              </w:rPr>
              <w:t>Do not further consider configurable RB shift for LTE-M in Rel-16.</w:t>
            </w:r>
          </w:p>
        </w:tc>
      </w:tr>
      <w:tr w:rsidR="00423A3C" w:rsidRPr="008A1717" w14:paraId="52996BA9" w14:textId="77777777" w:rsidTr="00F04697">
        <w:tc>
          <w:tcPr>
            <w:tcW w:w="2122" w:type="dxa"/>
          </w:tcPr>
          <w:p w14:paraId="1466384D" w14:textId="4CF21D48" w:rsidR="00423A3C" w:rsidRDefault="00423A3C" w:rsidP="00423A3C">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_Ref529801589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[4]</w:t>
            </w:r>
            <w:r>
              <w:rPr>
                <w:rFonts w:ascii="Arial" w:hAnsi="Arial" w:cs="Arial"/>
                <w:b/>
                <w:sz w:val="20"/>
                <w:lang w:val="en-GB" w:eastAsia="zh-CN"/>
              </w:rPr>
              <w:fldChar w:fldCharType="end"/>
            </w:r>
            <w:r>
              <w:rPr>
                <w:rFonts w:ascii="Arial" w:hAnsi="Arial" w:cs="Arial"/>
                <w:b/>
                <w:sz w:val="20"/>
                <w:lang w:val="en-GB" w:eastAsia="zh-CN"/>
              </w:rPr>
              <w:t xml:space="preserve"> Nokia, Nokia Shanghai Bell</w:t>
            </w:r>
          </w:p>
        </w:tc>
        <w:tc>
          <w:tcPr>
            <w:tcW w:w="7507" w:type="dxa"/>
          </w:tcPr>
          <w:p w14:paraId="308AA99B" w14:textId="7F5A3AEE" w:rsidR="00423A3C" w:rsidRPr="00A4231B" w:rsidRDefault="00423A3C" w:rsidP="00423A3C">
            <w:pPr>
              <w:rPr>
                <w:rFonts w:ascii="Arial" w:hAnsi="Arial" w:cs="Arial"/>
                <w:sz w:val="20"/>
                <w:lang w:val="en-GB" w:eastAsia="zh-CN"/>
              </w:rPr>
            </w:pPr>
            <w:r w:rsidRPr="00843BDD">
              <w:rPr>
                <w:rFonts w:ascii="Arial" w:hAnsi="Arial" w:cs="Arial"/>
                <w:sz w:val="20"/>
                <w:lang w:val="en-GB" w:eastAsia="zh-CN"/>
              </w:rPr>
              <w:t xml:space="preserve">In this case, </w:t>
            </w:r>
            <w:r>
              <w:rPr>
                <w:rFonts w:ascii="Arial" w:hAnsi="Arial" w:cs="Arial"/>
                <w:sz w:val="20"/>
                <w:lang w:val="en-GB" w:eastAsia="zh-CN"/>
              </w:rPr>
              <w:t>o</w:t>
            </w:r>
            <w:r w:rsidRPr="00843BDD">
              <w:rPr>
                <w:rFonts w:ascii="Arial" w:hAnsi="Arial" w:cs="Arial"/>
                <w:sz w:val="20"/>
                <w:lang w:val="en-GB" w:eastAsia="zh-CN"/>
              </w:rPr>
              <w:t>ffset values can be used to align the narrowbands with the NR PRB grid. This reduces the number of NR PRBs that must be reserved. However, this method is not backward compatible and would only work for Rel-16 and beyond UE</w:t>
            </w:r>
            <w:r>
              <w:rPr>
                <w:rFonts w:ascii="Arial" w:hAnsi="Arial" w:cs="Arial"/>
                <w:sz w:val="20"/>
                <w:lang w:val="en-GB" w:eastAsia="zh-CN"/>
              </w:rPr>
              <w:t>.</w:t>
            </w:r>
          </w:p>
        </w:tc>
      </w:tr>
      <w:tr w:rsidR="00423A3C" w:rsidRPr="008A1717" w14:paraId="6395E4D0" w14:textId="77777777" w:rsidTr="00F04697">
        <w:tc>
          <w:tcPr>
            <w:tcW w:w="2122" w:type="dxa"/>
          </w:tcPr>
          <w:p w14:paraId="32E0D257" w14:textId="77777777" w:rsidR="00423A3C" w:rsidRPr="008A1717" w:rsidRDefault="00423A3C" w:rsidP="00423A3C">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_Ref529801415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[6]</w:t>
            </w:r>
            <w:r>
              <w:rPr>
                <w:rFonts w:ascii="Arial" w:hAnsi="Arial" w:cs="Arial"/>
                <w:b/>
                <w:sz w:val="20"/>
                <w:lang w:val="en-GB" w:eastAsia="zh-CN"/>
              </w:rPr>
              <w:fldChar w:fldCharType="end"/>
            </w:r>
            <w:r>
              <w:rPr>
                <w:rFonts w:ascii="Arial" w:hAnsi="Arial" w:cs="Arial"/>
                <w:b/>
                <w:sz w:val="20"/>
                <w:lang w:val="en-GB" w:eastAsia="zh-CN"/>
              </w:rPr>
              <w:t xml:space="preserve"> Qualcomm Incorporated</w:t>
            </w:r>
          </w:p>
        </w:tc>
        <w:tc>
          <w:tcPr>
            <w:tcW w:w="7507" w:type="dxa"/>
          </w:tcPr>
          <w:p w14:paraId="75F21829" w14:textId="4B24EC11" w:rsidR="00423A3C" w:rsidRPr="00AD0CF0" w:rsidRDefault="00423A3C" w:rsidP="00423A3C">
            <w:pPr>
              <w:rPr>
                <w:rFonts w:ascii="Arial" w:hAnsi="Arial" w:cs="Arial"/>
                <w:sz w:val="20"/>
                <w:szCs w:val="20"/>
              </w:rPr>
            </w:pPr>
            <w:r w:rsidRPr="00CE1ADD">
              <w:rPr>
                <w:rFonts w:ascii="Arial" w:hAnsi="Arial" w:cs="Arial"/>
                <w:sz w:val="20"/>
                <w:szCs w:val="20"/>
              </w:rPr>
              <w:t>Proposal: Configurable RB shift is supported for Rel-16 LTE-MTC at least for in-band deployment with NR.</w:t>
            </w:r>
          </w:p>
        </w:tc>
      </w:tr>
      <w:tr w:rsidR="00423A3C" w:rsidRPr="007C2B1D" w14:paraId="74B22DC0" w14:textId="77777777" w:rsidTr="00F04697">
        <w:tc>
          <w:tcPr>
            <w:tcW w:w="2122" w:type="dxa"/>
          </w:tcPr>
          <w:p w14:paraId="0877EC96" w14:textId="77777777" w:rsidR="00423A3C" w:rsidRPr="008A1717" w:rsidRDefault="00423A3C" w:rsidP="00423A3C">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_Ref5044500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[7]</w:t>
            </w:r>
            <w:r>
              <w:rPr>
                <w:rFonts w:ascii="Arial" w:hAnsi="Arial" w:cs="Arial"/>
                <w:b/>
                <w:sz w:val="20"/>
                <w:lang w:val="en-GB" w:eastAsia="zh-CN"/>
              </w:rPr>
              <w:fldChar w:fldCharType="end"/>
            </w:r>
            <w:r>
              <w:rPr>
                <w:rFonts w:ascii="Arial" w:hAnsi="Arial" w:cs="Arial"/>
                <w:b/>
                <w:sz w:val="20"/>
                <w:lang w:val="en-GB" w:eastAsia="zh-CN"/>
              </w:rPr>
              <w:t xml:space="preserve"> LG Electronics</w:t>
            </w:r>
          </w:p>
        </w:tc>
        <w:tc>
          <w:tcPr>
            <w:tcW w:w="7507" w:type="dxa"/>
          </w:tcPr>
          <w:p w14:paraId="7BBBF4FB" w14:textId="49642BA0" w:rsidR="00423A3C" w:rsidRPr="005134E2" w:rsidRDefault="00423A3C" w:rsidP="00423A3C">
            <w:pPr>
              <w:rPr>
                <w:rFonts w:ascii="Arial" w:hAnsi="Arial" w:cs="Arial"/>
                <w:sz w:val="20"/>
                <w:szCs w:val="20"/>
              </w:rPr>
            </w:pPr>
            <w:r>
              <w:rPr>
                <w:rFonts w:ascii="Arial" w:hAnsi="Arial" w:cs="Arial"/>
                <w:sz w:val="20"/>
                <w:szCs w:val="20"/>
              </w:rPr>
              <w:t>M</w:t>
            </w:r>
            <w:r w:rsidRPr="004818A8">
              <w:rPr>
                <w:rFonts w:ascii="Arial" w:hAnsi="Arial" w:cs="Arial"/>
                <w:sz w:val="20"/>
                <w:szCs w:val="20"/>
              </w:rPr>
              <w:t>ay require too much elaborate specification work to be properly done in Rel.16 considering extremely flexible design and dynamic operation of NR</w:t>
            </w:r>
          </w:p>
        </w:tc>
      </w:tr>
    </w:tbl>
    <w:p w14:paraId="18FCF654" w14:textId="77777777" w:rsidR="00A447A5" w:rsidRDefault="00A447A5" w:rsidP="00A447A5">
      <w:pPr>
        <w:pStyle w:val="Reference"/>
        <w:numPr>
          <w:ilvl w:val="0"/>
          <w:numId w:val="0"/>
        </w:numPr>
        <w:ind w:left="567" w:hanging="567"/>
        <w:rPr>
          <w:rFonts w:ascii="Arial" w:hAnsi="Arial" w:cs="Arial"/>
          <w:sz w:val="20"/>
        </w:rPr>
      </w:pPr>
    </w:p>
    <w:p w14:paraId="4E968DD4" w14:textId="4DA724FE" w:rsidR="00B31A27" w:rsidRDefault="00364032" w:rsidP="00B31A27">
      <w:pPr>
        <w:pStyle w:val="Heading1"/>
      </w:pPr>
      <w:r>
        <w:lastRenderedPageBreak/>
        <w:t>Improved</w:t>
      </w:r>
      <w:r w:rsidR="005557BD">
        <w:t xml:space="preserve"> </w:t>
      </w:r>
      <w:r w:rsidR="00097077">
        <w:t>LTE-M r</w:t>
      </w:r>
      <w:r w:rsidR="00857023">
        <w:t xml:space="preserve">esource </w:t>
      </w:r>
      <w:r w:rsidR="00AB7269">
        <w:t>reservation</w:t>
      </w:r>
    </w:p>
    <w:p w14:paraId="5DF274EA" w14:textId="7CFE727E" w:rsidR="00435125" w:rsidRDefault="00435125" w:rsidP="00435125">
      <w:pPr>
        <w:pStyle w:val="Heading2"/>
      </w:pPr>
      <w:r>
        <w:t xml:space="preserve">Finer granularity </w:t>
      </w:r>
      <w:r w:rsidR="005557BD">
        <w:t xml:space="preserve">LTE-M </w:t>
      </w:r>
      <w:r>
        <w:t>resource reservation</w:t>
      </w:r>
    </w:p>
    <w:p w14:paraId="4F303A63" w14:textId="27E7EA38" w:rsidR="00FE1E66" w:rsidRDefault="007A3808" w:rsidP="00FE1E66">
      <w:pPr>
        <w:pStyle w:val="BodyText"/>
        <w:rPr>
          <w:rFonts w:ascii="Arial" w:hAnsi="Arial" w:cs="Arial"/>
          <w:sz w:val="20"/>
        </w:rPr>
      </w:pPr>
      <w:r>
        <w:rPr>
          <w:rFonts w:ascii="Arial" w:hAnsi="Arial" w:cs="Arial"/>
          <w:sz w:val="20"/>
        </w:rPr>
        <w:t xml:space="preserve">The contributions listed in the table below </w:t>
      </w:r>
      <w:r w:rsidR="00AB7269">
        <w:rPr>
          <w:rFonts w:ascii="Arial" w:hAnsi="Arial" w:cs="Arial"/>
          <w:sz w:val="20"/>
        </w:rPr>
        <w:t xml:space="preserve">discuss LTE-M resource </w:t>
      </w:r>
      <w:r w:rsidR="00F654CB">
        <w:rPr>
          <w:rFonts w:ascii="Arial" w:hAnsi="Arial" w:cs="Arial"/>
          <w:sz w:val="20"/>
        </w:rPr>
        <w:t>reservation beyond the already supported DL/UL subframe bitmap parameters</w:t>
      </w:r>
      <w:r w:rsidR="00D35CD7">
        <w:rPr>
          <w:rFonts w:ascii="Arial" w:hAnsi="Arial" w:cs="Arial"/>
          <w:sz w:val="20"/>
        </w:rPr>
        <w:t>.</w:t>
      </w:r>
      <w:r w:rsidR="00CE2193">
        <w:rPr>
          <w:rFonts w:ascii="Arial" w:hAnsi="Arial" w:cs="Arial"/>
          <w:sz w:val="20"/>
        </w:rPr>
        <w:t xml:space="preserve"> The potential introduction of these additional means for LTE-M resource reservation seems to be viewed</w:t>
      </w:r>
      <w:r w:rsidR="00EE1CB4">
        <w:rPr>
          <w:rFonts w:ascii="Arial" w:hAnsi="Arial" w:cs="Arial"/>
          <w:sz w:val="20"/>
        </w:rPr>
        <w:t xml:space="preserve"> rather</w:t>
      </w:r>
      <w:r w:rsidR="00CE2193">
        <w:rPr>
          <w:rFonts w:ascii="Arial" w:hAnsi="Arial" w:cs="Arial"/>
          <w:sz w:val="20"/>
        </w:rPr>
        <w:t xml:space="preserve"> favorably</w:t>
      </w:r>
      <w:r w:rsidR="00B0098A">
        <w:rPr>
          <w:rFonts w:ascii="Arial" w:hAnsi="Arial" w:cs="Arial"/>
          <w:sz w:val="20"/>
        </w:rPr>
        <w:t xml:space="preserve">, although there </w:t>
      </w:r>
      <w:r w:rsidR="0070678F">
        <w:rPr>
          <w:rFonts w:ascii="Arial" w:hAnsi="Arial" w:cs="Arial"/>
          <w:sz w:val="20"/>
        </w:rPr>
        <w:t xml:space="preserve">seem to be </w:t>
      </w:r>
      <w:r w:rsidR="00FE4DBA">
        <w:rPr>
          <w:rFonts w:ascii="Arial" w:hAnsi="Arial" w:cs="Arial"/>
          <w:sz w:val="20"/>
        </w:rPr>
        <w:t xml:space="preserve">somewhat </w:t>
      </w:r>
      <w:r w:rsidR="0070678F">
        <w:rPr>
          <w:rFonts w:ascii="Arial" w:hAnsi="Arial" w:cs="Arial"/>
          <w:sz w:val="20"/>
        </w:rPr>
        <w:t xml:space="preserve">different </w:t>
      </w:r>
      <w:r w:rsidR="000A2EB2">
        <w:rPr>
          <w:rFonts w:ascii="Arial" w:hAnsi="Arial" w:cs="Arial"/>
          <w:sz w:val="20"/>
        </w:rPr>
        <w:t>views</w:t>
      </w:r>
      <w:r w:rsidR="00FE4DBA">
        <w:rPr>
          <w:rFonts w:ascii="Arial" w:hAnsi="Arial" w:cs="Arial"/>
          <w:sz w:val="20"/>
        </w:rPr>
        <w:t xml:space="preserve"> regarding</w:t>
      </w:r>
      <w:r w:rsidR="0070678F">
        <w:rPr>
          <w:rFonts w:ascii="Arial" w:hAnsi="Arial" w:cs="Arial"/>
          <w:sz w:val="20"/>
        </w:rPr>
        <w:t xml:space="preserve"> </w:t>
      </w:r>
      <w:r w:rsidR="008220B0">
        <w:rPr>
          <w:rFonts w:ascii="Arial" w:hAnsi="Arial" w:cs="Arial"/>
          <w:sz w:val="20"/>
        </w:rPr>
        <w:t>whether the reservation should be dynamic or semi-static.</w:t>
      </w:r>
    </w:p>
    <w:p w14:paraId="6189EEE9" w14:textId="77777777" w:rsidR="00B517C6" w:rsidRPr="00DF475D" w:rsidRDefault="00B517C6" w:rsidP="00B517C6">
      <w:pPr>
        <w:pStyle w:val="BodyText"/>
        <w:rPr>
          <w:rFonts w:ascii="Arial" w:hAnsi="Arial" w:cs="Arial"/>
          <w:sz w:val="20"/>
          <w:highlight w:val="yellow"/>
        </w:rPr>
      </w:pPr>
      <w:r w:rsidRPr="00DF475D">
        <w:rPr>
          <w:rFonts w:ascii="Arial" w:hAnsi="Arial" w:cs="Arial"/>
          <w:sz w:val="20"/>
          <w:highlight w:val="yellow"/>
        </w:rPr>
        <w:t>Feature lead recommendation:</w:t>
      </w:r>
    </w:p>
    <w:p w14:paraId="597C8D0D" w14:textId="29A93916" w:rsidR="00520050" w:rsidRPr="00520050" w:rsidRDefault="00520050" w:rsidP="00F04697">
      <w:pPr>
        <w:pStyle w:val="BodyText"/>
        <w:numPr>
          <w:ilvl w:val="0"/>
          <w:numId w:val="29"/>
        </w:numPr>
        <w:rPr>
          <w:rFonts w:ascii="Arial" w:hAnsi="Arial" w:cs="Arial"/>
          <w:sz w:val="20"/>
        </w:rPr>
      </w:pPr>
      <w:r>
        <w:rPr>
          <w:rFonts w:ascii="Arial" w:hAnsi="Arial" w:cs="Arial"/>
          <w:sz w:val="20"/>
          <w:lang w:val="en-GB" w:eastAsia="zh-CN"/>
        </w:rPr>
        <w:t>RAN1 concludes that o</w:t>
      </w:r>
      <w:r w:rsidRPr="00F72798">
        <w:rPr>
          <w:rFonts w:ascii="Arial" w:hAnsi="Arial" w:cs="Arial"/>
          <w:sz w:val="20"/>
          <w:lang w:val="en-GB" w:eastAsia="zh-CN"/>
        </w:rPr>
        <w:t>verlap between NR SSB and LTE-M</w:t>
      </w:r>
      <w:r>
        <w:rPr>
          <w:rFonts w:ascii="Arial" w:hAnsi="Arial" w:cs="Arial"/>
          <w:sz w:val="20"/>
          <w:lang w:val="en-GB" w:eastAsia="zh-CN"/>
        </w:rPr>
        <w:t>TC</w:t>
      </w:r>
      <w:r w:rsidRPr="00F72798">
        <w:rPr>
          <w:rFonts w:ascii="Arial" w:hAnsi="Arial" w:cs="Arial"/>
          <w:sz w:val="20"/>
          <w:lang w:val="en-GB" w:eastAsia="zh-CN"/>
        </w:rPr>
        <w:t xml:space="preserve"> can be avoided using the</w:t>
      </w:r>
      <w:r w:rsidR="007918DC">
        <w:rPr>
          <w:rFonts w:ascii="Arial" w:hAnsi="Arial" w:cs="Arial"/>
          <w:sz w:val="20"/>
          <w:lang w:val="en-GB" w:eastAsia="zh-CN"/>
        </w:rPr>
        <w:t xml:space="preserve"> LTE-MTC</w:t>
      </w:r>
      <w:r w:rsidRPr="00F72798">
        <w:rPr>
          <w:rFonts w:ascii="Arial" w:hAnsi="Arial" w:cs="Arial"/>
          <w:sz w:val="20"/>
          <w:lang w:val="en-GB" w:eastAsia="zh-CN"/>
        </w:rPr>
        <w:t xml:space="preserve"> </w:t>
      </w:r>
      <w:r w:rsidR="007918DC">
        <w:rPr>
          <w:rFonts w:ascii="Arial" w:hAnsi="Arial" w:cs="Arial"/>
          <w:sz w:val="20"/>
          <w:lang w:val="en-GB" w:eastAsia="zh-CN"/>
        </w:rPr>
        <w:t xml:space="preserve">DL </w:t>
      </w:r>
      <w:r w:rsidRPr="00F72798">
        <w:rPr>
          <w:rFonts w:ascii="Arial" w:hAnsi="Arial" w:cs="Arial"/>
          <w:sz w:val="20"/>
          <w:lang w:val="en-GB" w:eastAsia="zh-CN"/>
        </w:rPr>
        <w:t xml:space="preserve">valid subframe </w:t>
      </w:r>
      <w:r w:rsidR="007918DC">
        <w:rPr>
          <w:rFonts w:ascii="Arial" w:hAnsi="Arial" w:cs="Arial"/>
          <w:sz w:val="20"/>
          <w:lang w:val="en-GB" w:eastAsia="zh-CN"/>
        </w:rPr>
        <w:t>bitmap</w:t>
      </w:r>
      <w:r>
        <w:rPr>
          <w:rFonts w:ascii="Arial" w:hAnsi="Arial" w:cs="Arial"/>
          <w:sz w:val="20"/>
          <w:lang w:val="en-GB" w:eastAsia="zh-CN"/>
        </w:rPr>
        <w:t>.</w:t>
      </w:r>
    </w:p>
    <w:p w14:paraId="224FAF88" w14:textId="2D0BDC55" w:rsidR="006D4E25" w:rsidRPr="006D4E25" w:rsidRDefault="00F46C92" w:rsidP="00F04697">
      <w:pPr>
        <w:pStyle w:val="BodyText"/>
        <w:numPr>
          <w:ilvl w:val="0"/>
          <w:numId w:val="29"/>
        </w:numPr>
        <w:rPr>
          <w:rFonts w:ascii="Arial" w:hAnsi="Arial" w:cs="Arial"/>
          <w:sz w:val="20"/>
        </w:rPr>
      </w:pPr>
      <w:r w:rsidRPr="00DF545F">
        <w:rPr>
          <w:rFonts w:ascii="Arial" w:hAnsi="Arial" w:cs="Arial"/>
          <w:sz w:val="20"/>
          <w:lang w:val="en-GB" w:eastAsia="zh-CN"/>
        </w:rPr>
        <w:t>RAN1 con</w:t>
      </w:r>
      <w:r w:rsidR="006D4E25">
        <w:rPr>
          <w:rFonts w:ascii="Arial" w:hAnsi="Arial" w:cs="Arial"/>
          <w:sz w:val="20"/>
          <w:lang w:val="en-GB" w:eastAsia="zh-CN"/>
        </w:rPr>
        <w:t>tinues to study finer-granularity LTE-MTC resource reservation until RAN1#97.</w:t>
      </w:r>
    </w:p>
    <w:p w14:paraId="1E96EF0F" w14:textId="1E48B870" w:rsidR="006D4E25" w:rsidRDefault="006D4E25" w:rsidP="006D4E25">
      <w:pPr>
        <w:pStyle w:val="BodyText"/>
        <w:numPr>
          <w:ilvl w:val="1"/>
          <w:numId w:val="29"/>
        </w:numPr>
        <w:rPr>
          <w:rFonts w:ascii="Arial" w:hAnsi="Arial" w:cs="Arial"/>
          <w:sz w:val="20"/>
        </w:rPr>
      </w:pPr>
      <w:r>
        <w:rPr>
          <w:rFonts w:ascii="Arial" w:hAnsi="Arial" w:cs="Arial"/>
          <w:sz w:val="20"/>
        </w:rPr>
        <w:t>Assume that the LTE-MTC resource reservation should accommodate at least part of NR initial CORESET, NR CSI-RS and NR TRS.</w:t>
      </w:r>
    </w:p>
    <w:p w14:paraId="68D85673" w14:textId="77777777" w:rsidR="00FD3D63" w:rsidRPr="00FD3D63" w:rsidRDefault="006A6FA6" w:rsidP="006A6FA6">
      <w:pPr>
        <w:pStyle w:val="BodyText"/>
        <w:numPr>
          <w:ilvl w:val="1"/>
          <w:numId w:val="29"/>
        </w:numPr>
        <w:rPr>
          <w:rFonts w:ascii="Arial" w:hAnsi="Arial" w:cs="Arial"/>
          <w:sz w:val="20"/>
        </w:rPr>
      </w:pPr>
      <w:r>
        <w:rPr>
          <w:rFonts w:ascii="Arial" w:hAnsi="Arial" w:cs="Arial"/>
          <w:sz w:val="20"/>
          <w:lang w:val="en-GB" w:eastAsia="zh-CN"/>
        </w:rPr>
        <w:t xml:space="preserve">The reference case is </w:t>
      </w:r>
      <w:r w:rsidR="00FD3D63">
        <w:rPr>
          <w:rFonts w:ascii="Arial" w:hAnsi="Arial" w:cs="Arial"/>
          <w:sz w:val="20"/>
          <w:lang w:val="en-GB" w:eastAsia="zh-CN"/>
        </w:rPr>
        <w:t>the existing DL/UL subframe-level LTE-MTC resource reservation.</w:t>
      </w:r>
    </w:p>
    <w:p w14:paraId="5B058B26" w14:textId="518539C0" w:rsidR="006D4E25" w:rsidRPr="006D4E25" w:rsidRDefault="006D4E25" w:rsidP="006D4E25">
      <w:pPr>
        <w:pStyle w:val="BodyText"/>
        <w:numPr>
          <w:ilvl w:val="1"/>
          <w:numId w:val="29"/>
        </w:numPr>
        <w:rPr>
          <w:rFonts w:ascii="Arial" w:hAnsi="Arial" w:cs="Arial"/>
          <w:sz w:val="20"/>
        </w:rPr>
      </w:pPr>
      <w:r>
        <w:rPr>
          <w:rFonts w:ascii="Arial" w:hAnsi="Arial" w:cs="Arial"/>
          <w:sz w:val="20"/>
          <w:lang w:val="en-GB" w:eastAsia="zh-CN"/>
        </w:rPr>
        <w:t>Assume that the resource reservation is s</w:t>
      </w:r>
      <w:r w:rsidRPr="00122AFF">
        <w:rPr>
          <w:rFonts w:ascii="Arial" w:hAnsi="Arial" w:cs="Arial"/>
          <w:sz w:val="20"/>
          <w:lang w:val="en-GB" w:eastAsia="zh-CN"/>
        </w:rPr>
        <w:t>emi-static</w:t>
      </w:r>
      <w:r>
        <w:rPr>
          <w:rFonts w:ascii="Arial" w:hAnsi="Arial" w:cs="Arial"/>
          <w:sz w:val="20"/>
          <w:lang w:val="en-GB" w:eastAsia="zh-CN"/>
        </w:rPr>
        <w:t>ally</w:t>
      </w:r>
      <w:r w:rsidRPr="00122AFF">
        <w:rPr>
          <w:rFonts w:ascii="Arial" w:hAnsi="Arial" w:cs="Arial"/>
          <w:sz w:val="20"/>
          <w:lang w:val="en-GB" w:eastAsia="zh-CN"/>
        </w:rPr>
        <w:t xml:space="preserve"> configured. It is FFS whether the eNB can </w:t>
      </w:r>
      <w:r>
        <w:rPr>
          <w:rFonts w:ascii="Arial" w:hAnsi="Arial" w:cs="Arial"/>
          <w:sz w:val="20"/>
          <w:lang w:val="en-GB" w:eastAsia="zh-CN"/>
        </w:rPr>
        <w:t xml:space="preserve">furthermore </w:t>
      </w:r>
      <w:r w:rsidRPr="00122AFF">
        <w:rPr>
          <w:rFonts w:ascii="Arial" w:hAnsi="Arial" w:cs="Arial"/>
          <w:sz w:val="20"/>
          <w:lang w:val="en-GB" w:eastAsia="zh-CN"/>
        </w:rPr>
        <w:t>dynamically override</w:t>
      </w:r>
      <w:r w:rsidR="0027421E">
        <w:rPr>
          <w:rFonts w:ascii="Arial" w:hAnsi="Arial" w:cs="Arial"/>
          <w:sz w:val="20"/>
          <w:lang w:val="en-GB" w:eastAsia="zh-CN"/>
        </w:rPr>
        <w:t xml:space="preserve"> or modify</w:t>
      </w:r>
      <w:r w:rsidRPr="00122AFF">
        <w:rPr>
          <w:rFonts w:ascii="Arial" w:hAnsi="Arial" w:cs="Arial"/>
          <w:sz w:val="20"/>
          <w:lang w:val="en-GB" w:eastAsia="zh-CN"/>
        </w:rPr>
        <w:t xml:space="preserve"> the reserved resource via DCI</w:t>
      </w:r>
      <w:r>
        <w:rPr>
          <w:rFonts w:ascii="Arial" w:hAnsi="Arial" w:cs="Arial"/>
          <w:sz w:val="20"/>
          <w:lang w:val="en-GB" w:eastAsia="zh-CN"/>
        </w:rPr>
        <w:t>.</w:t>
      </w:r>
    </w:p>
    <w:p w14:paraId="1A60DC7F" w14:textId="2E0FB7D2" w:rsidR="00493FBA" w:rsidRDefault="00810BBF" w:rsidP="00385288">
      <w:pPr>
        <w:pStyle w:val="BodyText"/>
        <w:numPr>
          <w:ilvl w:val="1"/>
          <w:numId w:val="29"/>
        </w:numPr>
        <w:rPr>
          <w:rFonts w:ascii="Arial" w:hAnsi="Arial" w:cs="Arial"/>
          <w:sz w:val="20"/>
        </w:rPr>
      </w:pPr>
      <w:r>
        <w:rPr>
          <w:rFonts w:ascii="Arial" w:hAnsi="Arial" w:cs="Arial"/>
          <w:sz w:val="20"/>
        </w:rPr>
        <w:t>Consider whether t</w:t>
      </w:r>
      <w:r w:rsidR="00713173">
        <w:rPr>
          <w:rFonts w:ascii="Arial" w:hAnsi="Arial" w:cs="Arial"/>
          <w:sz w:val="20"/>
        </w:rPr>
        <w:t xml:space="preserve">he time-domain granularity of the </w:t>
      </w:r>
      <w:r>
        <w:rPr>
          <w:rFonts w:ascii="Arial" w:hAnsi="Arial" w:cs="Arial"/>
          <w:sz w:val="20"/>
        </w:rPr>
        <w:t xml:space="preserve">LTE-MTC </w:t>
      </w:r>
      <w:r w:rsidR="00713173">
        <w:rPr>
          <w:rFonts w:ascii="Arial" w:hAnsi="Arial" w:cs="Arial"/>
          <w:sz w:val="20"/>
        </w:rPr>
        <w:t xml:space="preserve">valid subframe configuration </w:t>
      </w:r>
      <w:r>
        <w:rPr>
          <w:rFonts w:ascii="Arial" w:hAnsi="Arial" w:cs="Arial"/>
          <w:sz w:val="20"/>
        </w:rPr>
        <w:t>should be scaled dependent on the NR subcarrier spacing.</w:t>
      </w:r>
    </w:p>
    <w:p w14:paraId="2C0BB574" w14:textId="333E4356" w:rsidR="009D21AE" w:rsidRPr="00385288" w:rsidRDefault="009D21AE" w:rsidP="00385288">
      <w:pPr>
        <w:pStyle w:val="BodyText"/>
        <w:numPr>
          <w:ilvl w:val="1"/>
          <w:numId w:val="29"/>
        </w:numPr>
        <w:rPr>
          <w:rFonts w:ascii="Arial" w:hAnsi="Arial" w:cs="Arial"/>
          <w:sz w:val="20"/>
        </w:rPr>
      </w:pPr>
      <w:r>
        <w:rPr>
          <w:rFonts w:ascii="Arial" w:hAnsi="Arial" w:cs="Arial"/>
          <w:sz w:val="20"/>
        </w:rPr>
        <w:t>Consider both DL and UL aspects.</w:t>
      </w:r>
    </w:p>
    <w:tbl>
      <w:tblPr>
        <w:tblStyle w:val="TableGrid"/>
        <w:tblW w:w="0" w:type="auto"/>
        <w:tblLook w:val="04A0" w:firstRow="1" w:lastRow="0" w:firstColumn="1" w:lastColumn="0" w:noHBand="0" w:noVBand="1"/>
      </w:tblPr>
      <w:tblGrid>
        <w:gridCol w:w="2122"/>
        <w:gridCol w:w="7507"/>
      </w:tblGrid>
      <w:tr w:rsidR="0076022E" w:rsidRPr="008A1717" w14:paraId="2B78CD13" w14:textId="77777777" w:rsidTr="00F04697">
        <w:tc>
          <w:tcPr>
            <w:tcW w:w="2122" w:type="dxa"/>
          </w:tcPr>
          <w:p w14:paraId="091C19EC"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_Ref1595240 \r \h  \* MERGEFORMAT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[2]</w:t>
            </w:r>
            <w:r>
              <w:rPr>
                <w:rFonts w:ascii="Arial" w:hAnsi="Arial" w:cs="Arial"/>
                <w:b/>
                <w:sz w:val="20"/>
                <w:lang w:val="en-GB" w:eastAsia="zh-CN"/>
              </w:rPr>
              <w:fldChar w:fldCharType="end"/>
            </w:r>
            <w:r>
              <w:rPr>
                <w:rFonts w:ascii="Arial" w:hAnsi="Arial" w:cs="Arial"/>
                <w:b/>
                <w:sz w:val="20"/>
                <w:lang w:val="en-GB" w:eastAsia="zh-CN"/>
              </w:rPr>
              <w:t xml:space="preserve"> Ericsson</w:t>
            </w:r>
          </w:p>
        </w:tc>
        <w:tc>
          <w:tcPr>
            <w:tcW w:w="7507" w:type="dxa"/>
          </w:tcPr>
          <w:p w14:paraId="006EC0C1" w14:textId="22102762" w:rsidR="00DF545F" w:rsidRPr="00DF545F" w:rsidRDefault="00DF545F" w:rsidP="00DF545F">
            <w:pPr>
              <w:rPr>
                <w:rFonts w:ascii="Arial" w:hAnsi="Arial" w:cs="Arial"/>
                <w:sz w:val="20"/>
                <w:lang w:val="en-GB" w:eastAsia="zh-CN"/>
              </w:rPr>
            </w:pPr>
            <w:r w:rsidRPr="00DF545F">
              <w:rPr>
                <w:rFonts w:ascii="Arial" w:hAnsi="Arial" w:cs="Arial"/>
                <w:sz w:val="20"/>
                <w:lang w:val="en-GB" w:eastAsia="zh-CN"/>
              </w:rPr>
              <w:t>Observation</w:t>
            </w:r>
            <w:r>
              <w:rPr>
                <w:rFonts w:ascii="Arial" w:hAnsi="Arial" w:cs="Arial"/>
                <w:sz w:val="20"/>
                <w:lang w:val="en-GB" w:eastAsia="zh-CN"/>
              </w:rPr>
              <w:t xml:space="preserve">: </w:t>
            </w:r>
            <w:r w:rsidRPr="00DF545F">
              <w:rPr>
                <w:rFonts w:ascii="Arial" w:hAnsi="Arial" w:cs="Arial"/>
                <w:sz w:val="20"/>
                <w:lang w:val="en-GB" w:eastAsia="zh-CN"/>
              </w:rPr>
              <w:t>LTE-M resource reservation with finer granularity than today’s LTE-M DL and UL subframe bitmaps may be beneficial for enabling rate matching around NR resources, such as for example initial CORESET, CSI-RS and TRS.</w:t>
            </w:r>
          </w:p>
          <w:p w14:paraId="2C182BFC" w14:textId="77777777" w:rsidR="0076022E" w:rsidRDefault="00DF545F" w:rsidP="00DF545F">
            <w:pPr>
              <w:rPr>
                <w:rFonts w:ascii="Arial" w:hAnsi="Arial" w:cs="Arial"/>
                <w:sz w:val="20"/>
                <w:lang w:val="en-GB" w:eastAsia="zh-CN"/>
              </w:rPr>
            </w:pPr>
            <w:r w:rsidRPr="00DF545F">
              <w:rPr>
                <w:rFonts w:ascii="Arial" w:hAnsi="Arial" w:cs="Arial"/>
                <w:sz w:val="20"/>
                <w:lang w:val="en-GB" w:eastAsia="zh-CN"/>
              </w:rPr>
              <w:t>Proposal</w:t>
            </w:r>
            <w:r>
              <w:rPr>
                <w:rFonts w:ascii="Arial" w:hAnsi="Arial" w:cs="Arial"/>
                <w:sz w:val="20"/>
                <w:lang w:val="en-GB" w:eastAsia="zh-CN"/>
              </w:rPr>
              <w:t xml:space="preserve">: </w:t>
            </w:r>
            <w:r w:rsidRPr="00DF545F">
              <w:rPr>
                <w:rFonts w:ascii="Arial" w:hAnsi="Arial" w:cs="Arial"/>
                <w:sz w:val="20"/>
                <w:lang w:val="en-GB" w:eastAsia="zh-CN"/>
              </w:rPr>
              <w:t>RAN1 considers suitable mechanisms for reserving resources in LTE-M to accommodate at least part of NR initial CORESET, NR CSI-RS and NR TRS. It should be clarified if the existing subframe-level LTE-M resource reservation is enough.</w:t>
            </w:r>
          </w:p>
          <w:p w14:paraId="2A9B1144" w14:textId="77777777" w:rsidR="00F72798" w:rsidRDefault="00F72798" w:rsidP="00DF545F">
            <w:pPr>
              <w:rPr>
                <w:rFonts w:ascii="Arial" w:hAnsi="Arial" w:cs="Arial"/>
                <w:sz w:val="20"/>
                <w:lang w:val="en-GB" w:eastAsia="zh-CN"/>
              </w:rPr>
            </w:pPr>
            <w:r w:rsidRPr="00F72798">
              <w:rPr>
                <w:rFonts w:ascii="Arial" w:hAnsi="Arial" w:cs="Arial"/>
                <w:sz w:val="20"/>
                <w:lang w:val="en-GB" w:eastAsia="zh-CN"/>
              </w:rPr>
              <w:t>Observation</w:t>
            </w:r>
            <w:r>
              <w:rPr>
                <w:rFonts w:ascii="Arial" w:hAnsi="Arial" w:cs="Arial"/>
                <w:sz w:val="20"/>
                <w:lang w:val="en-GB" w:eastAsia="zh-CN"/>
              </w:rPr>
              <w:t xml:space="preserve">: </w:t>
            </w:r>
            <w:r w:rsidRPr="00F72798">
              <w:rPr>
                <w:rFonts w:ascii="Arial" w:hAnsi="Arial" w:cs="Arial"/>
                <w:sz w:val="20"/>
                <w:lang w:val="en-GB" w:eastAsia="zh-CN"/>
              </w:rPr>
              <w:t>Overlap between NR SSB and LTE-M can be avoided in time domain using the invalid subframe feature in LTE-M. This facilitates the coexistence of NR with LTE-M in case of challenging system bandwidth combinations.</w:t>
            </w:r>
          </w:p>
          <w:p w14:paraId="17DB6AC4" w14:textId="2D98AD64" w:rsidR="0029303B" w:rsidRPr="0029303B" w:rsidRDefault="0029303B" w:rsidP="0029303B">
            <w:pPr>
              <w:rPr>
                <w:rFonts w:ascii="Arial" w:hAnsi="Arial" w:cs="Arial"/>
                <w:sz w:val="20"/>
                <w:lang w:val="en-GB" w:eastAsia="zh-CN"/>
              </w:rPr>
            </w:pPr>
            <w:r w:rsidRPr="0029303B">
              <w:rPr>
                <w:rFonts w:ascii="Arial" w:hAnsi="Arial" w:cs="Arial"/>
                <w:sz w:val="20"/>
                <w:lang w:val="en-GB" w:eastAsia="zh-CN"/>
              </w:rPr>
              <w:t>Observation</w:t>
            </w:r>
            <w:r>
              <w:rPr>
                <w:rFonts w:ascii="Arial" w:hAnsi="Arial" w:cs="Arial"/>
                <w:sz w:val="20"/>
                <w:lang w:val="en-GB" w:eastAsia="zh-CN"/>
              </w:rPr>
              <w:t xml:space="preserve">: </w:t>
            </w:r>
            <w:r w:rsidRPr="0029303B">
              <w:rPr>
                <w:rFonts w:ascii="Arial" w:hAnsi="Arial" w:cs="Arial"/>
                <w:sz w:val="20"/>
                <w:lang w:val="en-GB" w:eastAsia="zh-CN"/>
              </w:rPr>
              <w:t xml:space="preserve">The amount of resources available for LTE-M when coexisting with NR depends on the resource reservation scheme in LTE-M, the NR system bandwidth, as well as NR CORESET and SSB patterns. </w:t>
            </w:r>
          </w:p>
          <w:p w14:paraId="08B49117" w14:textId="300622D1" w:rsidR="0029303B" w:rsidRPr="0029303B" w:rsidRDefault="0029303B" w:rsidP="0029303B">
            <w:pPr>
              <w:rPr>
                <w:rFonts w:ascii="Arial" w:hAnsi="Arial" w:cs="Arial"/>
                <w:sz w:val="20"/>
                <w:lang w:val="en-GB" w:eastAsia="zh-CN"/>
              </w:rPr>
            </w:pPr>
            <w:r w:rsidRPr="0029303B">
              <w:rPr>
                <w:rFonts w:ascii="Arial" w:hAnsi="Arial" w:cs="Arial"/>
                <w:sz w:val="20"/>
                <w:lang w:val="en-GB" w:eastAsia="zh-CN"/>
              </w:rPr>
              <w:t>Observation</w:t>
            </w:r>
            <w:r>
              <w:rPr>
                <w:rFonts w:ascii="Arial" w:hAnsi="Arial" w:cs="Arial"/>
                <w:sz w:val="20"/>
                <w:lang w:val="en-GB" w:eastAsia="zh-CN"/>
              </w:rPr>
              <w:t xml:space="preserve">: </w:t>
            </w:r>
            <w:r w:rsidRPr="0029303B">
              <w:rPr>
                <w:rFonts w:ascii="Arial" w:hAnsi="Arial" w:cs="Arial"/>
                <w:sz w:val="20"/>
                <w:lang w:val="en-GB" w:eastAsia="zh-CN"/>
              </w:rPr>
              <w:t xml:space="preserve">For 10 MHz NR system bandwidth, maximum CORESET repetition, and using subframe-level LTE-M resource reservation, only around 7% of the resources are available for LTE-M. With slot-level and symbol-level LTE-M resource reservation, the LTE-M resource availability can increase up to 50% and 91%, respectively. </w:t>
            </w:r>
          </w:p>
          <w:p w14:paraId="05236855" w14:textId="1A1FC565" w:rsidR="00F04697" w:rsidRDefault="0029303B" w:rsidP="0029303B">
            <w:pPr>
              <w:rPr>
                <w:rFonts w:ascii="Arial" w:hAnsi="Arial" w:cs="Arial"/>
                <w:sz w:val="20"/>
                <w:lang w:val="en-GB" w:eastAsia="zh-CN"/>
              </w:rPr>
            </w:pPr>
            <w:r w:rsidRPr="0029303B">
              <w:rPr>
                <w:rFonts w:ascii="Arial" w:hAnsi="Arial" w:cs="Arial"/>
                <w:sz w:val="20"/>
                <w:lang w:val="en-GB" w:eastAsia="zh-CN"/>
              </w:rPr>
              <w:t>Proposal</w:t>
            </w:r>
            <w:r>
              <w:rPr>
                <w:rFonts w:ascii="Arial" w:hAnsi="Arial" w:cs="Arial"/>
                <w:sz w:val="20"/>
                <w:lang w:val="en-GB" w:eastAsia="zh-CN"/>
              </w:rPr>
              <w:t xml:space="preserve">: </w:t>
            </w:r>
            <w:r w:rsidRPr="0029303B">
              <w:rPr>
                <w:rFonts w:ascii="Arial" w:hAnsi="Arial" w:cs="Arial"/>
                <w:sz w:val="20"/>
                <w:lang w:val="en-GB" w:eastAsia="zh-CN"/>
              </w:rPr>
              <w:t>Improved resource availability for LTE-M can be achieved if LTE-M resource reservation with finer granularity than one subframe is supported.</w:t>
            </w:r>
          </w:p>
          <w:p w14:paraId="161B2C22" w14:textId="17EDA8F1" w:rsidR="00B17648" w:rsidRPr="008A1717" w:rsidRDefault="009101ED" w:rsidP="00DF545F">
            <w:pPr>
              <w:rPr>
                <w:rFonts w:ascii="Arial" w:hAnsi="Arial" w:cs="Arial"/>
                <w:sz w:val="20"/>
                <w:lang w:val="en-GB" w:eastAsia="zh-CN"/>
              </w:rPr>
            </w:pPr>
            <w:r w:rsidRPr="009101ED">
              <w:rPr>
                <w:rFonts w:ascii="Arial" w:hAnsi="Arial" w:cs="Arial"/>
                <w:sz w:val="20"/>
                <w:lang w:val="en-GB" w:eastAsia="zh-CN"/>
              </w:rPr>
              <w:t>Proposal</w:t>
            </w:r>
            <w:r>
              <w:rPr>
                <w:rFonts w:ascii="Arial" w:hAnsi="Arial" w:cs="Arial"/>
                <w:sz w:val="20"/>
                <w:lang w:val="en-GB" w:eastAsia="zh-CN"/>
              </w:rPr>
              <w:t xml:space="preserve">: </w:t>
            </w:r>
            <w:r w:rsidRPr="009101ED">
              <w:rPr>
                <w:rFonts w:ascii="Arial" w:hAnsi="Arial" w:cs="Arial"/>
                <w:sz w:val="20"/>
                <w:lang w:val="en-GB" w:eastAsia="zh-CN"/>
              </w:rPr>
              <w:t>For higher NR SCS cases, a smaller granularity (slot-level or symbol-level) should be considered for LTE-M resource reservation.</w:t>
            </w:r>
          </w:p>
        </w:tc>
      </w:tr>
      <w:tr w:rsidR="0076022E" w:rsidRPr="008A1717" w14:paraId="1640B0F0" w14:textId="77777777" w:rsidTr="00F04697">
        <w:tc>
          <w:tcPr>
            <w:tcW w:w="2122" w:type="dxa"/>
          </w:tcPr>
          <w:p w14:paraId="546018A2"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lastRenderedPageBreak/>
              <w:fldChar w:fldCharType="begin"/>
            </w:r>
            <w:r>
              <w:rPr>
                <w:rFonts w:ascii="Arial" w:hAnsi="Arial" w:cs="Arial"/>
                <w:b/>
                <w:sz w:val="20"/>
                <w:lang w:val="en-GB" w:eastAsia="zh-CN"/>
              </w:rPr>
              <w:instrText xml:space="preserve"> REF _Ref5045587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[3]</w:t>
            </w:r>
            <w:r>
              <w:rPr>
                <w:rFonts w:ascii="Arial" w:hAnsi="Arial" w:cs="Arial"/>
                <w:b/>
                <w:sz w:val="20"/>
                <w:lang w:val="en-GB" w:eastAsia="zh-CN"/>
              </w:rPr>
              <w:fldChar w:fldCharType="end"/>
            </w:r>
            <w:r>
              <w:rPr>
                <w:rFonts w:ascii="Arial" w:hAnsi="Arial" w:cs="Arial"/>
                <w:b/>
                <w:sz w:val="20"/>
                <w:lang w:val="en-GB" w:eastAsia="zh-CN"/>
              </w:rPr>
              <w:t xml:space="preserve"> Huawei, HiSilicon</w:t>
            </w:r>
          </w:p>
        </w:tc>
        <w:tc>
          <w:tcPr>
            <w:tcW w:w="7507" w:type="dxa"/>
          </w:tcPr>
          <w:p w14:paraId="059DEAAD" w14:textId="65A5B9B9" w:rsidR="0076022E" w:rsidRPr="00D9344F" w:rsidRDefault="001C519D" w:rsidP="00F04697">
            <w:pPr>
              <w:pStyle w:val="BodyText"/>
              <w:rPr>
                <w:rFonts w:ascii="Arial" w:hAnsi="Arial" w:cs="Arial"/>
                <w:sz w:val="20"/>
                <w:szCs w:val="20"/>
              </w:rPr>
            </w:pPr>
            <w:r w:rsidRPr="001C519D">
              <w:rPr>
                <w:rFonts w:ascii="Arial" w:hAnsi="Arial" w:cs="Arial"/>
                <w:sz w:val="20"/>
                <w:szCs w:val="20"/>
              </w:rPr>
              <w:t>Proposal: Dynamic resource reservation should be supported in LTE-MTC and the reserved resource granularity is FFS.</w:t>
            </w:r>
          </w:p>
        </w:tc>
      </w:tr>
      <w:tr w:rsidR="0076022E" w:rsidRPr="008A1717" w14:paraId="75CB56C2" w14:textId="77777777" w:rsidTr="00F04697">
        <w:tc>
          <w:tcPr>
            <w:tcW w:w="2122" w:type="dxa"/>
          </w:tcPr>
          <w:p w14:paraId="4AD0A29B"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_Ref529801589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[4]</w:t>
            </w:r>
            <w:r>
              <w:rPr>
                <w:rFonts w:ascii="Arial" w:hAnsi="Arial" w:cs="Arial"/>
                <w:b/>
                <w:sz w:val="20"/>
                <w:lang w:val="en-GB" w:eastAsia="zh-CN"/>
              </w:rPr>
              <w:fldChar w:fldCharType="end"/>
            </w:r>
            <w:r>
              <w:rPr>
                <w:rFonts w:ascii="Arial" w:hAnsi="Arial" w:cs="Arial"/>
                <w:b/>
                <w:sz w:val="20"/>
                <w:lang w:val="en-GB" w:eastAsia="zh-CN"/>
              </w:rPr>
              <w:t xml:space="preserve"> Nokia, Nokia Shanghai Bell</w:t>
            </w:r>
          </w:p>
        </w:tc>
        <w:tc>
          <w:tcPr>
            <w:tcW w:w="7507" w:type="dxa"/>
          </w:tcPr>
          <w:p w14:paraId="738ED3A8" w14:textId="77777777" w:rsidR="0076022E" w:rsidRDefault="0025240A" w:rsidP="00F04697">
            <w:pPr>
              <w:rPr>
                <w:rFonts w:ascii="Arial" w:hAnsi="Arial" w:cs="Arial"/>
                <w:sz w:val="20"/>
                <w:lang w:val="en-GB" w:eastAsia="zh-CN"/>
              </w:rPr>
            </w:pPr>
            <w:r w:rsidRPr="0025240A">
              <w:rPr>
                <w:rFonts w:ascii="Arial" w:hAnsi="Arial" w:cs="Arial"/>
                <w:sz w:val="20"/>
                <w:lang w:val="en-GB" w:eastAsia="zh-CN"/>
              </w:rPr>
              <w:t>Observation: eMTC reserved resource (e.g. symbol-level reservation, slot format indicator) can be used to allow eMTC transmission in a portion of the subframe.</w:t>
            </w:r>
          </w:p>
          <w:p w14:paraId="42E3FFA9" w14:textId="77777777" w:rsidR="00935C0A" w:rsidRDefault="00935C0A" w:rsidP="00F04697">
            <w:pPr>
              <w:rPr>
                <w:rFonts w:ascii="Arial" w:hAnsi="Arial" w:cs="Arial"/>
                <w:sz w:val="20"/>
                <w:lang w:val="en-GB" w:eastAsia="zh-CN"/>
              </w:rPr>
            </w:pPr>
            <w:r w:rsidRPr="00935C0A">
              <w:rPr>
                <w:rFonts w:ascii="Arial" w:hAnsi="Arial" w:cs="Arial"/>
                <w:sz w:val="20"/>
                <w:lang w:val="en-GB" w:eastAsia="zh-CN"/>
              </w:rPr>
              <w:t>Observation: Invalid subframe bitmap can be used by legacy UEs to avoid NR transmissions and eMTC reserved resources.</w:t>
            </w:r>
          </w:p>
          <w:p w14:paraId="6E898EF4" w14:textId="77777777" w:rsidR="00DC7B5D" w:rsidRDefault="00DC7B5D" w:rsidP="00F04697">
            <w:pPr>
              <w:rPr>
                <w:rFonts w:ascii="Arial" w:hAnsi="Arial" w:cs="Arial"/>
                <w:sz w:val="20"/>
                <w:lang w:val="en-GB" w:eastAsia="zh-CN"/>
              </w:rPr>
            </w:pPr>
            <w:r w:rsidRPr="00DC7B5D">
              <w:rPr>
                <w:rFonts w:ascii="Arial" w:hAnsi="Arial" w:cs="Arial"/>
                <w:sz w:val="20"/>
                <w:lang w:val="en-GB" w:eastAsia="zh-CN"/>
              </w:rPr>
              <w:t>Observation: eMTC reserved resource can be subframe-level, slot-level, or symbol-level.</w:t>
            </w:r>
          </w:p>
          <w:p w14:paraId="4F8F637F" w14:textId="77777777" w:rsidR="00122AFF" w:rsidRDefault="00122AFF" w:rsidP="00F04697">
            <w:pPr>
              <w:rPr>
                <w:rFonts w:ascii="Arial" w:hAnsi="Arial" w:cs="Arial"/>
                <w:sz w:val="20"/>
                <w:lang w:val="en-GB" w:eastAsia="zh-CN"/>
              </w:rPr>
            </w:pPr>
            <w:r w:rsidRPr="00122AFF">
              <w:rPr>
                <w:rFonts w:ascii="Arial" w:hAnsi="Arial" w:cs="Arial"/>
                <w:sz w:val="20"/>
                <w:lang w:val="en-GB" w:eastAsia="zh-CN"/>
              </w:rPr>
              <w:t>Observation: eMTC reserved resource is semi-static configured. It is for FFS whether the eNB can dynamically override the reserved resource via DCI.</w:t>
            </w:r>
          </w:p>
          <w:p w14:paraId="40FAEFB9" w14:textId="638E0FDB" w:rsidR="00D97E56" w:rsidRPr="008A1717" w:rsidRDefault="00D97E56" w:rsidP="00F04697">
            <w:pPr>
              <w:rPr>
                <w:rFonts w:ascii="Arial" w:hAnsi="Arial" w:cs="Arial"/>
                <w:sz w:val="20"/>
                <w:lang w:val="en-GB" w:eastAsia="zh-CN"/>
              </w:rPr>
            </w:pPr>
            <w:r w:rsidRPr="00D97E56">
              <w:rPr>
                <w:rFonts w:ascii="Arial" w:hAnsi="Arial" w:cs="Arial"/>
                <w:sz w:val="20"/>
                <w:lang w:val="en-GB" w:eastAsia="zh-CN"/>
              </w:rPr>
              <w:t>Observation: eMTC reserved resource can be used to exclude the OFDM symbols of SSB and NR-PDCCH.</w:t>
            </w:r>
          </w:p>
        </w:tc>
      </w:tr>
      <w:tr w:rsidR="0076022E" w:rsidRPr="008A1717" w14:paraId="15F97037" w14:textId="77777777" w:rsidTr="00F04697">
        <w:tc>
          <w:tcPr>
            <w:tcW w:w="2122" w:type="dxa"/>
          </w:tcPr>
          <w:p w14:paraId="14CC466B"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_Ref5045604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[5]</w:t>
            </w:r>
            <w:r>
              <w:rPr>
                <w:rFonts w:ascii="Arial" w:hAnsi="Arial" w:cs="Arial"/>
                <w:b/>
                <w:sz w:val="20"/>
                <w:lang w:val="en-GB" w:eastAsia="zh-CN"/>
              </w:rPr>
              <w:fldChar w:fldCharType="end"/>
            </w:r>
            <w:r>
              <w:rPr>
                <w:rFonts w:ascii="Arial" w:hAnsi="Arial" w:cs="Arial"/>
                <w:b/>
                <w:sz w:val="20"/>
                <w:lang w:val="en-GB" w:eastAsia="zh-CN"/>
              </w:rPr>
              <w:t xml:space="preserve"> ZTE</w:t>
            </w:r>
          </w:p>
        </w:tc>
        <w:tc>
          <w:tcPr>
            <w:tcW w:w="7507" w:type="dxa"/>
          </w:tcPr>
          <w:p w14:paraId="593DAADF" w14:textId="1113AD55" w:rsidR="00C118EE" w:rsidRPr="00C118EE" w:rsidRDefault="00C118EE" w:rsidP="00C118EE">
            <w:pPr>
              <w:rPr>
                <w:rFonts w:ascii="Arial" w:hAnsi="Arial" w:cs="Arial"/>
                <w:sz w:val="20"/>
                <w:lang w:val="en-GB" w:eastAsia="zh-CN"/>
              </w:rPr>
            </w:pPr>
            <w:r w:rsidRPr="00C118EE">
              <w:rPr>
                <w:rFonts w:ascii="Arial" w:hAnsi="Arial" w:cs="Arial"/>
                <w:sz w:val="20"/>
                <w:lang w:val="en-GB" w:eastAsia="zh-CN"/>
              </w:rPr>
              <w:t>Proposal: To improve the coexistence performance of LTE-MTC with NR, symbol level resource reservation in LTE-MTC can be considered.</w:t>
            </w:r>
          </w:p>
          <w:p w14:paraId="3CBDE11B" w14:textId="77777777" w:rsidR="0076022E" w:rsidRDefault="00C118EE" w:rsidP="00C118EE">
            <w:pPr>
              <w:pStyle w:val="ListParagraph"/>
              <w:numPr>
                <w:ilvl w:val="0"/>
                <w:numId w:val="45"/>
              </w:numPr>
              <w:rPr>
                <w:rFonts w:ascii="Arial" w:hAnsi="Arial" w:cs="Arial"/>
                <w:sz w:val="20"/>
                <w:lang w:val="en-GB" w:eastAsia="zh-CN"/>
              </w:rPr>
            </w:pPr>
            <w:r w:rsidRPr="00C118EE">
              <w:rPr>
                <w:rFonts w:ascii="Arial" w:hAnsi="Arial" w:cs="Arial"/>
                <w:sz w:val="20"/>
                <w:lang w:val="en-GB" w:eastAsia="zh-CN"/>
              </w:rPr>
              <w:t>Symbol level resource reservation is semi-statically configured.</w:t>
            </w:r>
          </w:p>
          <w:p w14:paraId="5F2342A5" w14:textId="3D6BAAFD" w:rsidR="0049673D" w:rsidRDefault="0049673D" w:rsidP="0049673D">
            <w:pPr>
              <w:rPr>
                <w:rFonts w:ascii="Arial" w:hAnsi="Arial" w:cs="Arial"/>
                <w:sz w:val="20"/>
                <w:szCs w:val="20"/>
              </w:rPr>
            </w:pPr>
            <w:r w:rsidRPr="00C80511">
              <w:rPr>
                <w:rFonts w:ascii="Arial" w:hAnsi="Arial" w:cs="Arial"/>
                <w:sz w:val="20"/>
                <w:szCs w:val="20"/>
              </w:rPr>
              <w:t>Observation: Compared with legacy LTE, due to repetition of LTE-MTC transmission, collision between LTE-MTC transmission and NR URLLC may be more serious.</w:t>
            </w:r>
          </w:p>
          <w:p w14:paraId="66C0ACCC" w14:textId="101B797F" w:rsidR="0049673D" w:rsidRDefault="0049673D" w:rsidP="0049673D">
            <w:pPr>
              <w:rPr>
                <w:rFonts w:ascii="Arial" w:hAnsi="Arial" w:cs="Arial"/>
                <w:sz w:val="20"/>
                <w:szCs w:val="20"/>
              </w:rPr>
            </w:pPr>
            <w:r w:rsidRPr="00193690">
              <w:rPr>
                <w:rFonts w:ascii="Arial" w:hAnsi="Arial" w:cs="Arial"/>
                <w:sz w:val="20"/>
                <w:szCs w:val="20"/>
              </w:rPr>
              <w:t>Proposal: For LTE-MTC transmission, dynamic signaling in DCI is used to indicate downlink puncturing information.</w:t>
            </w:r>
          </w:p>
          <w:p w14:paraId="7BB626BF" w14:textId="614B7D95" w:rsidR="0049673D" w:rsidRPr="0049673D" w:rsidRDefault="0049673D" w:rsidP="0049673D">
            <w:pPr>
              <w:rPr>
                <w:rFonts w:ascii="Arial" w:hAnsi="Arial" w:cs="Arial"/>
                <w:sz w:val="20"/>
                <w:lang w:val="en-GB" w:eastAsia="zh-CN"/>
              </w:rPr>
            </w:pPr>
            <w:r w:rsidRPr="002E5DEC">
              <w:rPr>
                <w:rFonts w:ascii="Arial" w:hAnsi="Arial" w:cs="Arial"/>
                <w:sz w:val="20"/>
                <w:szCs w:val="20"/>
              </w:rPr>
              <w:t>Proposal: For LTE-MTC transmission, a dedicated control information is used to indicate uplink muting information.</w:t>
            </w:r>
          </w:p>
        </w:tc>
      </w:tr>
      <w:tr w:rsidR="0076022E" w:rsidRPr="008A1717" w14:paraId="591B226D" w14:textId="77777777" w:rsidTr="00F04697">
        <w:tc>
          <w:tcPr>
            <w:tcW w:w="2122" w:type="dxa"/>
          </w:tcPr>
          <w:p w14:paraId="1D52A727" w14:textId="77777777" w:rsidR="0076022E" w:rsidRPr="008A1717" w:rsidRDefault="0076022E"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_Ref529801415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[6]</w:t>
            </w:r>
            <w:r>
              <w:rPr>
                <w:rFonts w:ascii="Arial" w:hAnsi="Arial" w:cs="Arial"/>
                <w:b/>
                <w:sz w:val="20"/>
                <w:lang w:val="en-GB" w:eastAsia="zh-CN"/>
              </w:rPr>
              <w:fldChar w:fldCharType="end"/>
            </w:r>
            <w:r>
              <w:rPr>
                <w:rFonts w:ascii="Arial" w:hAnsi="Arial" w:cs="Arial"/>
                <w:b/>
                <w:sz w:val="20"/>
                <w:lang w:val="en-GB" w:eastAsia="zh-CN"/>
              </w:rPr>
              <w:t xml:space="preserve"> Qualcomm Incorporated</w:t>
            </w:r>
          </w:p>
        </w:tc>
        <w:tc>
          <w:tcPr>
            <w:tcW w:w="7507" w:type="dxa"/>
          </w:tcPr>
          <w:p w14:paraId="27017B50" w14:textId="1685481B" w:rsidR="002E5DEC" w:rsidRDefault="00CE1ADD" w:rsidP="00F04697">
            <w:pPr>
              <w:rPr>
                <w:rFonts w:ascii="Arial" w:hAnsi="Arial" w:cs="Arial"/>
                <w:sz w:val="20"/>
                <w:szCs w:val="20"/>
              </w:rPr>
            </w:pPr>
            <w:bookmarkStart w:id="2" w:name="_Hlk5140860"/>
            <w:r w:rsidRPr="00CE1ADD">
              <w:rPr>
                <w:rFonts w:ascii="Arial" w:hAnsi="Arial" w:cs="Arial"/>
                <w:sz w:val="20"/>
                <w:szCs w:val="20"/>
              </w:rPr>
              <w:t>Observation: Resource reservation at subframe level for LTE-MTC may not efficiently support NR URLLC.</w:t>
            </w:r>
          </w:p>
          <w:p w14:paraId="18686A18" w14:textId="3D933C4F" w:rsidR="00CE1ADD" w:rsidRDefault="00CE1ADD" w:rsidP="00F04697">
            <w:pPr>
              <w:rPr>
                <w:rFonts w:ascii="Arial" w:hAnsi="Arial" w:cs="Arial"/>
                <w:sz w:val="20"/>
                <w:szCs w:val="20"/>
              </w:rPr>
            </w:pPr>
            <w:r w:rsidRPr="00CE1ADD">
              <w:rPr>
                <w:rFonts w:ascii="Arial" w:hAnsi="Arial" w:cs="Arial"/>
                <w:sz w:val="20"/>
                <w:szCs w:val="20"/>
              </w:rPr>
              <w:t>Observation: Reserving fixed resources for LTE-MTC may not efficiently support dynamic TDD for NR.</w:t>
            </w:r>
          </w:p>
          <w:p w14:paraId="3AC62F94" w14:textId="699334AB" w:rsidR="00EB0E04" w:rsidRDefault="00EB0E04" w:rsidP="00F04697">
            <w:pPr>
              <w:rPr>
                <w:rFonts w:ascii="Arial" w:hAnsi="Arial" w:cs="Arial"/>
                <w:sz w:val="20"/>
                <w:szCs w:val="20"/>
              </w:rPr>
            </w:pPr>
            <w:r w:rsidRPr="00EB0E04">
              <w:rPr>
                <w:rFonts w:ascii="Arial" w:hAnsi="Arial" w:cs="Arial"/>
                <w:sz w:val="20"/>
                <w:szCs w:val="20"/>
              </w:rPr>
              <w:t>Proposal: For LTE-MTC coexistence with NR, the slot or symbol level resource reservation shall be supported to allow LTE-MTC transmission in a portion of the subframe.</w:t>
            </w:r>
          </w:p>
          <w:p w14:paraId="01E1AAFE" w14:textId="699E9418" w:rsidR="00F74B09" w:rsidRDefault="00F74B09" w:rsidP="00F04697">
            <w:pPr>
              <w:rPr>
                <w:rFonts w:ascii="Arial" w:hAnsi="Arial" w:cs="Arial"/>
                <w:sz w:val="20"/>
                <w:szCs w:val="20"/>
              </w:rPr>
            </w:pPr>
            <w:r w:rsidRPr="006E1EBB">
              <w:rPr>
                <w:rFonts w:ascii="Arial" w:hAnsi="Arial" w:cs="Arial"/>
                <w:sz w:val="20"/>
                <w:szCs w:val="20"/>
              </w:rPr>
              <w:t>Proposal: Support</w:t>
            </w:r>
            <w:r w:rsidR="00241E01">
              <w:rPr>
                <w:rFonts w:ascii="Arial" w:hAnsi="Arial" w:cs="Arial"/>
                <w:sz w:val="20"/>
                <w:szCs w:val="20"/>
              </w:rPr>
              <w:t xml:space="preserve"> [dynamic]</w:t>
            </w:r>
            <w:r w:rsidRPr="006E1EBB">
              <w:rPr>
                <w:rFonts w:ascii="Arial" w:hAnsi="Arial" w:cs="Arial"/>
                <w:sz w:val="20"/>
                <w:szCs w:val="20"/>
              </w:rPr>
              <w:t xml:space="preserve"> resource reservation for LTE-MTC </w:t>
            </w:r>
            <w:r w:rsidR="00241E01">
              <w:rPr>
                <w:rFonts w:ascii="Arial" w:hAnsi="Arial" w:cs="Arial"/>
                <w:sz w:val="20"/>
                <w:szCs w:val="20"/>
              </w:rPr>
              <w:t xml:space="preserve">[to allow] </w:t>
            </w:r>
            <w:r w:rsidRPr="006E1EBB">
              <w:rPr>
                <w:rFonts w:ascii="Arial" w:hAnsi="Arial" w:cs="Arial"/>
                <w:sz w:val="20"/>
                <w:szCs w:val="20"/>
              </w:rPr>
              <w:t>using flexible NR resources.</w:t>
            </w:r>
          </w:p>
          <w:p w14:paraId="06E34D5A" w14:textId="0E8F0255" w:rsidR="001237AD" w:rsidRPr="00AD0CF0" w:rsidRDefault="001237AD" w:rsidP="00F04697">
            <w:pPr>
              <w:rPr>
                <w:rFonts w:ascii="Arial" w:hAnsi="Arial" w:cs="Arial"/>
                <w:sz w:val="20"/>
                <w:szCs w:val="20"/>
              </w:rPr>
            </w:pPr>
            <w:r w:rsidRPr="001237AD">
              <w:rPr>
                <w:rFonts w:ascii="Arial" w:hAnsi="Arial" w:cs="Arial"/>
                <w:sz w:val="20"/>
                <w:szCs w:val="20"/>
              </w:rPr>
              <w:t>Proposal: The time domain granularity of the valid subframe configuration for Rel-16 LTE-MTC UE can also include 0.5ms, 0.25ms or 0.125ms dependent on the subcarrier spacing of NR.</w:t>
            </w:r>
            <w:bookmarkEnd w:id="2"/>
          </w:p>
        </w:tc>
      </w:tr>
      <w:tr w:rsidR="002A11F2" w:rsidRPr="007C2B1D" w14:paraId="224F3737" w14:textId="77777777" w:rsidTr="00F04697">
        <w:tc>
          <w:tcPr>
            <w:tcW w:w="2122" w:type="dxa"/>
          </w:tcPr>
          <w:p w14:paraId="01049A4D" w14:textId="77777777" w:rsidR="002A11F2" w:rsidRPr="008A1717" w:rsidRDefault="002A11F2" w:rsidP="002A11F2">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_Ref5044500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[7]</w:t>
            </w:r>
            <w:r>
              <w:rPr>
                <w:rFonts w:ascii="Arial" w:hAnsi="Arial" w:cs="Arial"/>
                <w:b/>
                <w:sz w:val="20"/>
                <w:lang w:val="en-GB" w:eastAsia="zh-CN"/>
              </w:rPr>
              <w:fldChar w:fldCharType="end"/>
            </w:r>
            <w:r>
              <w:rPr>
                <w:rFonts w:ascii="Arial" w:hAnsi="Arial" w:cs="Arial"/>
                <w:b/>
                <w:sz w:val="20"/>
                <w:lang w:val="en-GB" w:eastAsia="zh-CN"/>
              </w:rPr>
              <w:t xml:space="preserve"> LG Electronics</w:t>
            </w:r>
          </w:p>
        </w:tc>
        <w:tc>
          <w:tcPr>
            <w:tcW w:w="7507" w:type="dxa"/>
          </w:tcPr>
          <w:p w14:paraId="28A02243" w14:textId="67DD6B6F" w:rsidR="002A11F2" w:rsidRPr="005134E2" w:rsidRDefault="002A11F2" w:rsidP="002A11F2">
            <w:pPr>
              <w:rPr>
                <w:rFonts w:ascii="Arial" w:hAnsi="Arial" w:cs="Arial"/>
                <w:sz w:val="20"/>
                <w:szCs w:val="20"/>
              </w:rPr>
            </w:pPr>
            <w:r>
              <w:rPr>
                <w:rFonts w:ascii="Arial" w:hAnsi="Arial" w:cs="Arial"/>
                <w:sz w:val="20"/>
                <w:szCs w:val="20"/>
              </w:rPr>
              <w:t>M</w:t>
            </w:r>
            <w:r w:rsidRPr="004818A8">
              <w:rPr>
                <w:rFonts w:ascii="Arial" w:hAnsi="Arial" w:cs="Arial"/>
                <w:sz w:val="20"/>
                <w:szCs w:val="20"/>
              </w:rPr>
              <w:t>ay require too much elaborate specification work to be properly done in Rel.16 considering extremely flexible design and dynamic operation of NR</w:t>
            </w:r>
          </w:p>
        </w:tc>
      </w:tr>
    </w:tbl>
    <w:p w14:paraId="3A2C47B1" w14:textId="5FEE358D" w:rsidR="00FE1E66" w:rsidRDefault="00FE1E66" w:rsidP="00FE1E66">
      <w:pPr>
        <w:pStyle w:val="Reference"/>
        <w:numPr>
          <w:ilvl w:val="0"/>
          <w:numId w:val="0"/>
        </w:numPr>
        <w:ind w:left="567" w:hanging="567"/>
        <w:rPr>
          <w:rFonts w:ascii="Arial" w:hAnsi="Arial" w:cs="Arial"/>
          <w:sz w:val="20"/>
        </w:rPr>
      </w:pPr>
    </w:p>
    <w:p w14:paraId="40B18B5B" w14:textId="5BC29E3F" w:rsidR="00974289" w:rsidRDefault="00974289" w:rsidP="00974289">
      <w:pPr>
        <w:pStyle w:val="Heading2"/>
      </w:pPr>
      <w:r>
        <w:t>Drop or postpone in LTE-M reserved resources</w:t>
      </w:r>
    </w:p>
    <w:p w14:paraId="763C09FB" w14:textId="5B07E16E" w:rsidR="00974289" w:rsidRDefault="00974289" w:rsidP="00974289">
      <w:pPr>
        <w:pStyle w:val="BodyText"/>
        <w:rPr>
          <w:rFonts w:ascii="Arial" w:hAnsi="Arial" w:cs="Arial"/>
          <w:sz w:val="20"/>
        </w:rPr>
      </w:pPr>
      <w:r>
        <w:rPr>
          <w:rFonts w:ascii="Arial" w:hAnsi="Arial" w:cs="Arial"/>
          <w:sz w:val="20"/>
        </w:rPr>
        <w:t xml:space="preserve">The contributions listed in the table below discuss </w:t>
      </w:r>
      <w:r w:rsidR="000B395C">
        <w:rPr>
          <w:rFonts w:ascii="Arial" w:hAnsi="Arial" w:cs="Arial"/>
          <w:sz w:val="20"/>
        </w:rPr>
        <w:t>whether LTE-M transmissions should be dropped or postponed when they overlap with LTE-M reserved resources.</w:t>
      </w:r>
    </w:p>
    <w:p w14:paraId="7857DFE9" w14:textId="77777777" w:rsidR="00974289" w:rsidRPr="00DF475D" w:rsidRDefault="00974289" w:rsidP="00974289">
      <w:pPr>
        <w:pStyle w:val="BodyText"/>
        <w:rPr>
          <w:rFonts w:ascii="Arial" w:hAnsi="Arial" w:cs="Arial"/>
          <w:sz w:val="20"/>
          <w:highlight w:val="yellow"/>
        </w:rPr>
      </w:pPr>
      <w:r w:rsidRPr="00DF475D">
        <w:rPr>
          <w:rFonts w:ascii="Arial" w:hAnsi="Arial" w:cs="Arial"/>
          <w:sz w:val="20"/>
          <w:highlight w:val="yellow"/>
        </w:rPr>
        <w:t>Feature lead recommendation:</w:t>
      </w:r>
    </w:p>
    <w:p w14:paraId="4BC64C9A" w14:textId="4D072ED6" w:rsidR="00061358" w:rsidRPr="00061358" w:rsidRDefault="00966DCE" w:rsidP="00061358">
      <w:pPr>
        <w:pStyle w:val="BodyText"/>
        <w:numPr>
          <w:ilvl w:val="0"/>
          <w:numId w:val="29"/>
        </w:numPr>
        <w:rPr>
          <w:rFonts w:ascii="Arial" w:hAnsi="Arial" w:cs="Arial"/>
          <w:sz w:val="20"/>
        </w:rPr>
      </w:pPr>
      <w:r>
        <w:rPr>
          <w:rFonts w:ascii="Arial" w:hAnsi="Arial" w:cs="Arial"/>
          <w:sz w:val="20"/>
        </w:rPr>
        <w:lastRenderedPageBreak/>
        <w:t>It is FFS whe</w:t>
      </w:r>
      <w:r w:rsidR="00195EC0">
        <w:rPr>
          <w:rFonts w:ascii="Arial" w:hAnsi="Arial" w:cs="Arial"/>
          <w:sz w:val="20"/>
        </w:rPr>
        <w:t xml:space="preserve">ther and when to drop or postpone </w:t>
      </w:r>
      <w:r w:rsidR="000B395C">
        <w:rPr>
          <w:rFonts w:ascii="Arial" w:hAnsi="Arial" w:cs="Arial"/>
          <w:sz w:val="20"/>
        </w:rPr>
        <w:t>LTE-M</w:t>
      </w:r>
      <w:r w:rsidR="007C3E70">
        <w:rPr>
          <w:rFonts w:ascii="Arial" w:hAnsi="Arial" w:cs="Arial"/>
          <w:sz w:val="20"/>
        </w:rPr>
        <w:t>TC</w:t>
      </w:r>
      <w:r w:rsidR="000B395C">
        <w:rPr>
          <w:rFonts w:ascii="Arial" w:hAnsi="Arial" w:cs="Arial"/>
          <w:sz w:val="20"/>
        </w:rPr>
        <w:t xml:space="preserve"> transmissions that </w:t>
      </w:r>
      <w:r w:rsidR="00364032">
        <w:rPr>
          <w:rFonts w:ascii="Arial" w:hAnsi="Arial" w:cs="Arial"/>
          <w:sz w:val="20"/>
        </w:rPr>
        <w:t>would fall into</w:t>
      </w:r>
      <w:r w:rsidR="000B395C">
        <w:rPr>
          <w:rFonts w:ascii="Arial" w:hAnsi="Arial" w:cs="Arial"/>
          <w:sz w:val="20"/>
        </w:rPr>
        <w:t xml:space="preserve"> LTE-M</w:t>
      </w:r>
      <w:r w:rsidR="007C3E70">
        <w:rPr>
          <w:rFonts w:ascii="Arial" w:hAnsi="Arial" w:cs="Arial"/>
          <w:sz w:val="20"/>
        </w:rPr>
        <w:t>TC</w:t>
      </w:r>
      <w:r w:rsidR="000B395C">
        <w:rPr>
          <w:rFonts w:ascii="Arial" w:hAnsi="Arial" w:cs="Arial"/>
          <w:sz w:val="20"/>
        </w:rPr>
        <w:t xml:space="preserve"> reserved resources (if introduced).</w:t>
      </w:r>
    </w:p>
    <w:tbl>
      <w:tblPr>
        <w:tblStyle w:val="TableGrid"/>
        <w:tblW w:w="0" w:type="auto"/>
        <w:tblLook w:val="04A0" w:firstRow="1" w:lastRow="0" w:firstColumn="1" w:lastColumn="0" w:noHBand="0" w:noVBand="1"/>
      </w:tblPr>
      <w:tblGrid>
        <w:gridCol w:w="2122"/>
        <w:gridCol w:w="7507"/>
      </w:tblGrid>
      <w:tr w:rsidR="00974289" w:rsidRPr="008A1717" w14:paraId="4E1A8278" w14:textId="77777777" w:rsidTr="000C650C">
        <w:tc>
          <w:tcPr>
            <w:tcW w:w="2122" w:type="dxa"/>
          </w:tcPr>
          <w:p w14:paraId="1C2D3DA5" w14:textId="77777777" w:rsidR="00974289" w:rsidRPr="008A1717" w:rsidRDefault="00974289" w:rsidP="000C650C">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_Ref1595240 \r \h  \* MERGEFORMAT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[2]</w:t>
            </w:r>
            <w:r>
              <w:rPr>
                <w:rFonts w:ascii="Arial" w:hAnsi="Arial" w:cs="Arial"/>
                <w:b/>
                <w:sz w:val="20"/>
                <w:lang w:val="en-GB" w:eastAsia="zh-CN"/>
              </w:rPr>
              <w:fldChar w:fldCharType="end"/>
            </w:r>
            <w:r>
              <w:rPr>
                <w:rFonts w:ascii="Arial" w:hAnsi="Arial" w:cs="Arial"/>
                <w:b/>
                <w:sz w:val="20"/>
                <w:lang w:val="en-GB" w:eastAsia="zh-CN"/>
              </w:rPr>
              <w:t xml:space="preserve"> Ericsson</w:t>
            </w:r>
          </w:p>
        </w:tc>
        <w:tc>
          <w:tcPr>
            <w:tcW w:w="7507" w:type="dxa"/>
          </w:tcPr>
          <w:p w14:paraId="07EA99CA" w14:textId="494B09CE" w:rsidR="00974289" w:rsidRPr="008A1717" w:rsidRDefault="00974289" w:rsidP="000C650C">
            <w:pPr>
              <w:rPr>
                <w:rFonts w:ascii="Arial" w:hAnsi="Arial" w:cs="Arial"/>
                <w:sz w:val="20"/>
                <w:lang w:val="en-GB" w:eastAsia="zh-CN"/>
              </w:rPr>
            </w:pPr>
            <w:r w:rsidRPr="007A7ED6">
              <w:rPr>
                <w:rFonts w:ascii="Arial" w:hAnsi="Arial" w:cs="Arial"/>
                <w:sz w:val="20"/>
                <w:lang w:val="en-GB" w:eastAsia="zh-CN"/>
              </w:rPr>
              <w:t>Proposal</w:t>
            </w:r>
            <w:r>
              <w:rPr>
                <w:rFonts w:ascii="Arial" w:hAnsi="Arial" w:cs="Arial"/>
                <w:sz w:val="20"/>
                <w:lang w:val="en-GB" w:eastAsia="zh-CN"/>
              </w:rPr>
              <w:t xml:space="preserve">: </w:t>
            </w:r>
            <w:r w:rsidRPr="007A7ED6">
              <w:rPr>
                <w:rFonts w:ascii="Arial" w:hAnsi="Arial" w:cs="Arial"/>
                <w:sz w:val="20"/>
                <w:lang w:val="en-GB" w:eastAsia="zh-CN"/>
              </w:rPr>
              <w:t>LTE-M transmissions in reserved resources may be dropped particularly when low-complexity scheduling is required.</w:t>
            </w:r>
          </w:p>
        </w:tc>
      </w:tr>
      <w:tr w:rsidR="00D10DB5" w:rsidRPr="008A1717" w14:paraId="5970FB7A" w14:textId="77777777" w:rsidTr="000C650C">
        <w:tc>
          <w:tcPr>
            <w:tcW w:w="2122" w:type="dxa"/>
          </w:tcPr>
          <w:p w14:paraId="275EF22B" w14:textId="6E2083BB" w:rsidR="00D10DB5" w:rsidRDefault="00D10DB5" w:rsidP="000C650C">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_Ref5045587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[3]</w:t>
            </w:r>
            <w:r>
              <w:rPr>
                <w:rFonts w:ascii="Arial" w:hAnsi="Arial" w:cs="Arial"/>
                <w:b/>
                <w:sz w:val="20"/>
                <w:lang w:val="en-GB" w:eastAsia="zh-CN"/>
              </w:rPr>
              <w:fldChar w:fldCharType="end"/>
            </w:r>
            <w:r>
              <w:rPr>
                <w:rFonts w:ascii="Arial" w:hAnsi="Arial" w:cs="Arial"/>
                <w:b/>
                <w:sz w:val="20"/>
                <w:lang w:val="en-GB" w:eastAsia="zh-CN"/>
              </w:rPr>
              <w:t xml:space="preserve"> Huawei, HiSilicon</w:t>
            </w:r>
          </w:p>
        </w:tc>
        <w:tc>
          <w:tcPr>
            <w:tcW w:w="7507" w:type="dxa"/>
          </w:tcPr>
          <w:p w14:paraId="007D13E5" w14:textId="0CF5B59B" w:rsidR="00D10DB5" w:rsidRPr="00D10DB5" w:rsidRDefault="00D10DB5" w:rsidP="000C650C">
            <w:pPr>
              <w:rPr>
                <w:rFonts w:ascii="Arial" w:hAnsi="Arial" w:cs="Arial"/>
                <w:sz w:val="20"/>
                <w:lang w:val="en-GB" w:eastAsia="zh-CN"/>
              </w:rPr>
            </w:pPr>
            <w:r w:rsidRPr="00D10DB5">
              <w:rPr>
                <w:rFonts w:ascii="Arial" w:hAnsi="Arial" w:cs="Arial"/>
                <w:sz w:val="20"/>
                <w:lang w:val="en-GB" w:eastAsia="zh-CN"/>
              </w:rPr>
              <w:t>If the data are repeated in many subframes, dropping can be applied, while if the repetition number is small, postpone may be more suitable.</w:t>
            </w:r>
          </w:p>
        </w:tc>
      </w:tr>
      <w:tr w:rsidR="00974289" w:rsidRPr="008A1717" w14:paraId="57D1FD1B" w14:textId="77777777" w:rsidTr="000C650C">
        <w:tc>
          <w:tcPr>
            <w:tcW w:w="2122" w:type="dxa"/>
          </w:tcPr>
          <w:p w14:paraId="6D15C338" w14:textId="77777777" w:rsidR="00974289" w:rsidRPr="008A1717" w:rsidRDefault="00974289" w:rsidP="000C650C">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_Ref529801589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[4]</w:t>
            </w:r>
            <w:r>
              <w:rPr>
                <w:rFonts w:ascii="Arial" w:hAnsi="Arial" w:cs="Arial"/>
                <w:b/>
                <w:sz w:val="20"/>
                <w:lang w:val="en-GB" w:eastAsia="zh-CN"/>
              </w:rPr>
              <w:fldChar w:fldCharType="end"/>
            </w:r>
            <w:r>
              <w:rPr>
                <w:rFonts w:ascii="Arial" w:hAnsi="Arial" w:cs="Arial"/>
                <w:b/>
                <w:sz w:val="20"/>
                <w:lang w:val="en-GB" w:eastAsia="zh-CN"/>
              </w:rPr>
              <w:t xml:space="preserve"> Nokia, Nokia Shanghai Bell</w:t>
            </w:r>
          </w:p>
        </w:tc>
        <w:tc>
          <w:tcPr>
            <w:tcW w:w="7507" w:type="dxa"/>
          </w:tcPr>
          <w:p w14:paraId="62E07414" w14:textId="4854E67B" w:rsidR="0069710C" w:rsidRPr="008A1717" w:rsidRDefault="00974289" w:rsidP="000C650C">
            <w:pPr>
              <w:rPr>
                <w:rFonts w:ascii="Arial" w:hAnsi="Arial" w:cs="Arial"/>
                <w:sz w:val="20"/>
                <w:lang w:val="en-GB" w:eastAsia="zh-CN"/>
              </w:rPr>
            </w:pPr>
            <w:r w:rsidRPr="00C7454A">
              <w:rPr>
                <w:rFonts w:ascii="Arial" w:hAnsi="Arial" w:cs="Arial"/>
                <w:sz w:val="20"/>
                <w:lang w:val="en-GB" w:eastAsia="zh-CN"/>
              </w:rPr>
              <w:t>Observation: eMTC transmission can be dropped in reserved resources.</w:t>
            </w:r>
          </w:p>
        </w:tc>
      </w:tr>
    </w:tbl>
    <w:p w14:paraId="50895C94" w14:textId="77777777" w:rsidR="00974289" w:rsidRDefault="00974289" w:rsidP="00FE1E66">
      <w:pPr>
        <w:pStyle w:val="Reference"/>
        <w:numPr>
          <w:ilvl w:val="0"/>
          <w:numId w:val="0"/>
        </w:numPr>
        <w:ind w:left="567" w:hanging="567"/>
        <w:rPr>
          <w:rFonts w:ascii="Arial" w:hAnsi="Arial" w:cs="Arial"/>
          <w:sz w:val="20"/>
        </w:rPr>
      </w:pPr>
    </w:p>
    <w:p w14:paraId="0F7ADF90" w14:textId="0E5AF171" w:rsidR="00621970" w:rsidRDefault="003A0970" w:rsidP="00621970">
      <w:pPr>
        <w:pStyle w:val="Heading1"/>
      </w:pPr>
      <w:r>
        <w:t>LTE-M overhead</w:t>
      </w:r>
      <w:r w:rsidR="004F3A3C">
        <w:t xml:space="preserve"> reduction</w:t>
      </w:r>
    </w:p>
    <w:p w14:paraId="08C88D3D" w14:textId="680FCAA0" w:rsidR="00435125" w:rsidRDefault="00435125" w:rsidP="00435125">
      <w:pPr>
        <w:pStyle w:val="Heading2"/>
      </w:pPr>
      <w:r>
        <w:t>CRS overhead reduction</w:t>
      </w:r>
    </w:p>
    <w:p w14:paraId="3CA9A4B2" w14:textId="0538589B" w:rsidR="005D723C" w:rsidRDefault="00175ADA" w:rsidP="00621970">
      <w:pPr>
        <w:pStyle w:val="BodyText"/>
        <w:rPr>
          <w:rFonts w:ascii="Arial" w:hAnsi="Arial" w:cs="Arial"/>
          <w:sz w:val="20"/>
        </w:rPr>
      </w:pPr>
      <w:r>
        <w:rPr>
          <w:rFonts w:ascii="Arial" w:hAnsi="Arial" w:cs="Arial"/>
          <w:sz w:val="20"/>
        </w:rPr>
        <w:t xml:space="preserve">The contributions listed in the table below </w:t>
      </w:r>
      <w:r w:rsidR="00DF1927">
        <w:rPr>
          <w:rFonts w:ascii="Arial" w:hAnsi="Arial" w:cs="Arial"/>
          <w:sz w:val="20"/>
        </w:rPr>
        <w:t>discuss CRS overhead and potential reduction of CRS transmission.</w:t>
      </w:r>
      <w:r w:rsidR="00FE38DA">
        <w:rPr>
          <w:rFonts w:ascii="Arial" w:hAnsi="Arial" w:cs="Arial"/>
          <w:sz w:val="20"/>
        </w:rPr>
        <w:t xml:space="preserve"> </w:t>
      </w:r>
      <w:r w:rsidR="00872030">
        <w:rPr>
          <w:rFonts w:ascii="Arial" w:hAnsi="Arial" w:cs="Arial"/>
          <w:sz w:val="20"/>
        </w:rPr>
        <w:t>RAN1#96 concluded that “</w:t>
      </w:r>
      <w:r w:rsidR="00872030" w:rsidRPr="00872030">
        <w:rPr>
          <w:rFonts w:ascii="Arial" w:hAnsi="Arial" w:cs="Arial"/>
          <w:sz w:val="20"/>
        </w:rPr>
        <w:t>Non-backwards-compatible approaches for reduced CRS overhead or reduced impact from frequency hopping is not supported in Rel-16</w:t>
      </w:r>
      <w:r w:rsidR="00872030">
        <w:rPr>
          <w:rFonts w:ascii="Arial" w:hAnsi="Arial" w:cs="Arial"/>
          <w:sz w:val="20"/>
        </w:rPr>
        <w:t>”.</w:t>
      </w:r>
    </w:p>
    <w:tbl>
      <w:tblPr>
        <w:tblStyle w:val="TableGrid"/>
        <w:tblW w:w="0" w:type="auto"/>
        <w:tblLook w:val="04A0" w:firstRow="1" w:lastRow="0" w:firstColumn="1" w:lastColumn="0" w:noHBand="0" w:noVBand="1"/>
      </w:tblPr>
      <w:tblGrid>
        <w:gridCol w:w="2122"/>
        <w:gridCol w:w="7507"/>
      </w:tblGrid>
      <w:tr w:rsidR="00AB4183" w:rsidRPr="008A1717" w14:paraId="424EA1A6" w14:textId="77777777" w:rsidTr="00F04697">
        <w:tc>
          <w:tcPr>
            <w:tcW w:w="2122" w:type="dxa"/>
          </w:tcPr>
          <w:p w14:paraId="34A02DD5" w14:textId="77777777" w:rsidR="00AB4183" w:rsidRPr="008A1717" w:rsidRDefault="00AB4183"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_Ref5045587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[3]</w:t>
            </w:r>
            <w:r>
              <w:rPr>
                <w:rFonts w:ascii="Arial" w:hAnsi="Arial" w:cs="Arial"/>
                <w:b/>
                <w:sz w:val="20"/>
                <w:lang w:val="en-GB" w:eastAsia="zh-CN"/>
              </w:rPr>
              <w:fldChar w:fldCharType="end"/>
            </w:r>
            <w:r>
              <w:rPr>
                <w:rFonts w:ascii="Arial" w:hAnsi="Arial" w:cs="Arial"/>
                <w:b/>
                <w:sz w:val="20"/>
                <w:lang w:val="en-GB" w:eastAsia="zh-CN"/>
              </w:rPr>
              <w:t xml:space="preserve"> Huawei, HiSilicon</w:t>
            </w:r>
          </w:p>
        </w:tc>
        <w:tc>
          <w:tcPr>
            <w:tcW w:w="7507" w:type="dxa"/>
          </w:tcPr>
          <w:p w14:paraId="000B086B" w14:textId="2C7473D0" w:rsidR="00AB4183" w:rsidRPr="00D9344F" w:rsidRDefault="008E78EE" w:rsidP="00F04697">
            <w:pPr>
              <w:pStyle w:val="BodyText"/>
              <w:rPr>
                <w:rFonts w:ascii="Arial" w:hAnsi="Arial" w:cs="Arial"/>
                <w:sz w:val="20"/>
                <w:szCs w:val="20"/>
              </w:rPr>
            </w:pPr>
            <w:r w:rsidRPr="008E78EE">
              <w:rPr>
                <w:rFonts w:ascii="Arial" w:hAnsi="Arial" w:cs="Arial"/>
                <w:sz w:val="20"/>
                <w:szCs w:val="20"/>
              </w:rPr>
              <w:t>Proposal: CRS reduction should be studied for eMTC and NR coexistence.</w:t>
            </w:r>
          </w:p>
        </w:tc>
      </w:tr>
      <w:tr w:rsidR="00AB4183" w:rsidRPr="008A1717" w14:paraId="3EC6DA80" w14:textId="77777777" w:rsidTr="00F04697">
        <w:tc>
          <w:tcPr>
            <w:tcW w:w="2122" w:type="dxa"/>
          </w:tcPr>
          <w:p w14:paraId="5D9C40A9" w14:textId="77777777" w:rsidR="00AB4183" w:rsidRPr="008A1717" w:rsidRDefault="00AB4183"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_Ref529801589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[4]</w:t>
            </w:r>
            <w:r>
              <w:rPr>
                <w:rFonts w:ascii="Arial" w:hAnsi="Arial" w:cs="Arial"/>
                <w:b/>
                <w:sz w:val="20"/>
                <w:lang w:val="en-GB" w:eastAsia="zh-CN"/>
              </w:rPr>
              <w:fldChar w:fldCharType="end"/>
            </w:r>
            <w:r>
              <w:rPr>
                <w:rFonts w:ascii="Arial" w:hAnsi="Arial" w:cs="Arial"/>
                <w:b/>
                <w:sz w:val="20"/>
                <w:lang w:val="en-GB" w:eastAsia="zh-CN"/>
              </w:rPr>
              <w:t xml:space="preserve"> Nokia, Nokia Shanghai Bell</w:t>
            </w:r>
          </w:p>
        </w:tc>
        <w:tc>
          <w:tcPr>
            <w:tcW w:w="7507" w:type="dxa"/>
          </w:tcPr>
          <w:p w14:paraId="4E697553" w14:textId="6A7E14EB" w:rsidR="00AB4183" w:rsidRPr="008A1717" w:rsidRDefault="004939E0" w:rsidP="00F04697">
            <w:pPr>
              <w:rPr>
                <w:rFonts w:ascii="Arial" w:hAnsi="Arial" w:cs="Arial"/>
                <w:sz w:val="20"/>
                <w:lang w:val="en-GB" w:eastAsia="zh-CN"/>
              </w:rPr>
            </w:pPr>
            <w:r w:rsidRPr="004939E0">
              <w:rPr>
                <w:rFonts w:ascii="Arial" w:hAnsi="Arial" w:cs="Arial"/>
                <w:sz w:val="20"/>
                <w:lang w:val="en-GB" w:eastAsia="zh-CN"/>
              </w:rPr>
              <w:t>Observation: CRS reduction is beneficial but will not be backward compatible with legacy UEs.</w:t>
            </w:r>
          </w:p>
        </w:tc>
      </w:tr>
      <w:tr w:rsidR="00AB4183" w:rsidRPr="008A1717" w14:paraId="40B47C89" w14:textId="77777777" w:rsidTr="00F04697">
        <w:tc>
          <w:tcPr>
            <w:tcW w:w="2122" w:type="dxa"/>
          </w:tcPr>
          <w:p w14:paraId="6DB9492C" w14:textId="77777777" w:rsidR="00AB4183" w:rsidRPr="008A1717" w:rsidRDefault="00AB4183"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_Ref5045604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[5]</w:t>
            </w:r>
            <w:r>
              <w:rPr>
                <w:rFonts w:ascii="Arial" w:hAnsi="Arial" w:cs="Arial"/>
                <w:b/>
                <w:sz w:val="20"/>
                <w:lang w:val="en-GB" w:eastAsia="zh-CN"/>
              </w:rPr>
              <w:fldChar w:fldCharType="end"/>
            </w:r>
            <w:r>
              <w:rPr>
                <w:rFonts w:ascii="Arial" w:hAnsi="Arial" w:cs="Arial"/>
                <w:b/>
                <w:sz w:val="20"/>
                <w:lang w:val="en-GB" w:eastAsia="zh-CN"/>
              </w:rPr>
              <w:t xml:space="preserve"> ZTE</w:t>
            </w:r>
          </w:p>
        </w:tc>
        <w:tc>
          <w:tcPr>
            <w:tcW w:w="7507" w:type="dxa"/>
          </w:tcPr>
          <w:p w14:paraId="783913AB" w14:textId="20F18D8D" w:rsidR="00BD677F" w:rsidRPr="00BD677F" w:rsidRDefault="00CA3BD6" w:rsidP="00BD677F">
            <w:pPr>
              <w:rPr>
                <w:rFonts w:ascii="Arial" w:hAnsi="Arial" w:cs="Arial"/>
                <w:sz w:val="20"/>
                <w:lang w:eastAsia="zh-CN"/>
              </w:rPr>
            </w:pPr>
            <w:r w:rsidRPr="005855F0">
              <w:rPr>
                <w:rFonts w:ascii="Arial" w:hAnsi="Arial" w:cs="Arial"/>
                <w:sz w:val="20"/>
                <w:lang w:eastAsia="zh-CN"/>
              </w:rPr>
              <w:t>Observation: For coexistence of LTE-MTC with NR, the performance improvement by utilizing Rel-15 CRS muting is negligible.</w:t>
            </w:r>
          </w:p>
        </w:tc>
      </w:tr>
    </w:tbl>
    <w:p w14:paraId="6D5180F3" w14:textId="4F4EC67D" w:rsidR="00621970" w:rsidRPr="008A1717" w:rsidRDefault="00621970" w:rsidP="00621970">
      <w:pPr>
        <w:pStyle w:val="Reference"/>
        <w:numPr>
          <w:ilvl w:val="0"/>
          <w:numId w:val="0"/>
        </w:numPr>
        <w:ind w:left="567" w:hanging="567"/>
        <w:rPr>
          <w:rFonts w:ascii="Arial" w:hAnsi="Arial" w:cs="Arial"/>
          <w:sz w:val="20"/>
        </w:rPr>
      </w:pPr>
    </w:p>
    <w:p w14:paraId="02354D5B" w14:textId="193ED5C5" w:rsidR="00435125" w:rsidRDefault="00B240C2" w:rsidP="00435125">
      <w:pPr>
        <w:pStyle w:val="Heading2"/>
      </w:pPr>
      <w:r>
        <w:t xml:space="preserve">LTE-M </w:t>
      </w:r>
      <w:r w:rsidR="00274D9C">
        <w:t>f</w:t>
      </w:r>
      <w:r w:rsidR="00435125">
        <w:t>requency hopping</w:t>
      </w:r>
      <w:r w:rsidR="00DC74D9">
        <w:t xml:space="preserve"> impact</w:t>
      </w:r>
    </w:p>
    <w:p w14:paraId="2EA13AD6" w14:textId="285A866F" w:rsidR="005D723C" w:rsidRDefault="00175ADA" w:rsidP="00C57D01">
      <w:pPr>
        <w:pStyle w:val="Reference"/>
        <w:numPr>
          <w:ilvl w:val="0"/>
          <w:numId w:val="0"/>
        </w:numPr>
        <w:rPr>
          <w:rFonts w:ascii="Arial" w:hAnsi="Arial" w:cs="Arial"/>
          <w:sz w:val="20"/>
        </w:rPr>
      </w:pPr>
      <w:r>
        <w:rPr>
          <w:rFonts w:ascii="Arial" w:hAnsi="Arial" w:cs="Arial"/>
          <w:sz w:val="20"/>
        </w:rPr>
        <w:t xml:space="preserve">The contributions listed in the table below </w:t>
      </w:r>
      <w:r w:rsidR="00DF1927">
        <w:rPr>
          <w:rFonts w:ascii="Arial" w:hAnsi="Arial" w:cs="Arial"/>
          <w:sz w:val="20"/>
        </w:rPr>
        <w:t>discuss frequency hopping</w:t>
      </w:r>
      <w:r w:rsidR="00350F18">
        <w:rPr>
          <w:rFonts w:ascii="Arial" w:hAnsi="Arial" w:cs="Arial"/>
          <w:sz w:val="20"/>
        </w:rPr>
        <w:t xml:space="preserve"> of </w:t>
      </w:r>
      <w:r w:rsidR="00C57D01">
        <w:rPr>
          <w:rFonts w:ascii="Arial" w:hAnsi="Arial" w:cs="Arial"/>
          <w:sz w:val="20"/>
        </w:rPr>
        <w:t xml:space="preserve">transmissions related to e.g. system information and paging and potential </w:t>
      </w:r>
      <w:r w:rsidR="00A66D45">
        <w:rPr>
          <w:rFonts w:ascii="Arial" w:hAnsi="Arial" w:cs="Arial"/>
          <w:sz w:val="20"/>
        </w:rPr>
        <w:t>mitigation of</w:t>
      </w:r>
      <w:r w:rsidR="00C57D01">
        <w:rPr>
          <w:rFonts w:ascii="Arial" w:hAnsi="Arial" w:cs="Arial"/>
          <w:sz w:val="20"/>
        </w:rPr>
        <w:t xml:space="preserve"> the impact of the frequency hopping on the coexistence with NR.</w:t>
      </w:r>
      <w:r w:rsidR="00FE38DA">
        <w:rPr>
          <w:rFonts w:ascii="Arial" w:hAnsi="Arial" w:cs="Arial"/>
          <w:sz w:val="20"/>
        </w:rPr>
        <w:t xml:space="preserve"> RAN1#96 concluded that “</w:t>
      </w:r>
      <w:r w:rsidR="00FE38DA" w:rsidRPr="00872030">
        <w:rPr>
          <w:rFonts w:ascii="Arial" w:hAnsi="Arial" w:cs="Arial"/>
          <w:sz w:val="20"/>
        </w:rPr>
        <w:t>Non-backwards-compatible approaches for reduced CRS overhead or reduced impact from frequency hopping is not supported in Rel-16</w:t>
      </w:r>
      <w:r w:rsidR="00FE38DA">
        <w:rPr>
          <w:rFonts w:ascii="Arial" w:hAnsi="Arial" w:cs="Arial"/>
          <w:sz w:val="20"/>
        </w:rPr>
        <w:t>”.</w:t>
      </w:r>
    </w:p>
    <w:tbl>
      <w:tblPr>
        <w:tblStyle w:val="TableGrid"/>
        <w:tblW w:w="0" w:type="auto"/>
        <w:tblLook w:val="04A0" w:firstRow="1" w:lastRow="0" w:firstColumn="1" w:lastColumn="0" w:noHBand="0" w:noVBand="1"/>
      </w:tblPr>
      <w:tblGrid>
        <w:gridCol w:w="2122"/>
        <w:gridCol w:w="7507"/>
      </w:tblGrid>
      <w:tr w:rsidR="00AB4183" w:rsidRPr="008A1717" w14:paraId="5C1574D7" w14:textId="77777777" w:rsidTr="00F04697">
        <w:tc>
          <w:tcPr>
            <w:tcW w:w="2122" w:type="dxa"/>
          </w:tcPr>
          <w:p w14:paraId="21610ED2" w14:textId="77777777" w:rsidR="00AB4183" w:rsidRPr="008A1717" w:rsidRDefault="00AB4183"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_Ref5045587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[3]</w:t>
            </w:r>
            <w:r>
              <w:rPr>
                <w:rFonts w:ascii="Arial" w:hAnsi="Arial" w:cs="Arial"/>
                <w:b/>
                <w:sz w:val="20"/>
                <w:lang w:val="en-GB" w:eastAsia="zh-CN"/>
              </w:rPr>
              <w:fldChar w:fldCharType="end"/>
            </w:r>
            <w:r>
              <w:rPr>
                <w:rFonts w:ascii="Arial" w:hAnsi="Arial" w:cs="Arial"/>
                <w:b/>
                <w:sz w:val="20"/>
                <w:lang w:val="en-GB" w:eastAsia="zh-CN"/>
              </w:rPr>
              <w:t xml:space="preserve"> Huawei, HiSilicon</w:t>
            </w:r>
          </w:p>
        </w:tc>
        <w:tc>
          <w:tcPr>
            <w:tcW w:w="7507" w:type="dxa"/>
          </w:tcPr>
          <w:p w14:paraId="7AA2A6A7" w14:textId="334F9245" w:rsidR="000813B5" w:rsidRPr="000813B5" w:rsidRDefault="000813B5" w:rsidP="000813B5">
            <w:pPr>
              <w:pStyle w:val="BodyText"/>
              <w:rPr>
                <w:rFonts w:ascii="Arial" w:hAnsi="Arial" w:cs="Arial"/>
                <w:sz w:val="20"/>
                <w:szCs w:val="20"/>
              </w:rPr>
            </w:pPr>
            <w:r w:rsidRPr="000813B5">
              <w:rPr>
                <w:rFonts w:ascii="Arial" w:hAnsi="Arial" w:cs="Arial"/>
                <w:sz w:val="20"/>
                <w:szCs w:val="20"/>
              </w:rPr>
              <w:t>Observation: More than 50% performance gain can be obtained for frequency hopping enhancement.</w:t>
            </w:r>
          </w:p>
          <w:p w14:paraId="238262CF" w14:textId="59926CDE" w:rsidR="00AB4183" w:rsidRPr="00D9344F" w:rsidRDefault="000813B5" w:rsidP="000813B5">
            <w:pPr>
              <w:pStyle w:val="BodyText"/>
              <w:rPr>
                <w:rFonts w:ascii="Arial" w:hAnsi="Arial" w:cs="Arial"/>
                <w:sz w:val="20"/>
                <w:szCs w:val="20"/>
              </w:rPr>
            </w:pPr>
            <w:r w:rsidRPr="000813B5">
              <w:rPr>
                <w:rFonts w:ascii="Arial" w:hAnsi="Arial" w:cs="Arial"/>
                <w:sz w:val="20"/>
                <w:szCs w:val="20"/>
              </w:rPr>
              <w:t>Proposal: The frequency hopping of eMTC SIB1 should be considered in order to have a better coexistence with NR.</w:t>
            </w:r>
          </w:p>
        </w:tc>
      </w:tr>
      <w:tr w:rsidR="00AB4183" w:rsidRPr="008A1717" w14:paraId="6BB4DD70" w14:textId="77777777" w:rsidTr="00F04697">
        <w:tc>
          <w:tcPr>
            <w:tcW w:w="2122" w:type="dxa"/>
          </w:tcPr>
          <w:p w14:paraId="3E304D8C" w14:textId="77777777" w:rsidR="00AB4183" w:rsidRPr="008A1717" w:rsidRDefault="00AB4183"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_Ref529801589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[4]</w:t>
            </w:r>
            <w:r>
              <w:rPr>
                <w:rFonts w:ascii="Arial" w:hAnsi="Arial" w:cs="Arial"/>
                <w:b/>
                <w:sz w:val="20"/>
                <w:lang w:val="en-GB" w:eastAsia="zh-CN"/>
              </w:rPr>
              <w:fldChar w:fldCharType="end"/>
            </w:r>
            <w:r>
              <w:rPr>
                <w:rFonts w:ascii="Arial" w:hAnsi="Arial" w:cs="Arial"/>
                <w:b/>
                <w:sz w:val="20"/>
                <w:lang w:val="en-GB" w:eastAsia="zh-CN"/>
              </w:rPr>
              <w:t xml:space="preserve"> Nokia, Nokia Shanghai Bell</w:t>
            </w:r>
          </w:p>
        </w:tc>
        <w:tc>
          <w:tcPr>
            <w:tcW w:w="7507" w:type="dxa"/>
          </w:tcPr>
          <w:p w14:paraId="5E1BCDD9" w14:textId="20D7E4CF" w:rsidR="00AB4183" w:rsidRPr="008A1717" w:rsidRDefault="00C20856" w:rsidP="00F04697">
            <w:pPr>
              <w:rPr>
                <w:rFonts w:ascii="Arial" w:hAnsi="Arial" w:cs="Arial"/>
                <w:sz w:val="20"/>
                <w:lang w:val="en-GB" w:eastAsia="zh-CN"/>
              </w:rPr>
            </w:pPr>
            <w:r w:rsidRPr="00C20856">
              <w:rPr>
                <w:rFonts w:ascii="Arial" w:hAnsi="Arial" w:cs="Arial"/>
                <w:sz w:val="20"/>
                <w:lang w:val="en-GB" w:eastAsia="zh-CN"/>
              </w:rPr>
              <w:t>Observation: NR performance loss due to eMTC frequency hopping can be mitigated using NR reserved resource. Changes to eMTC frequency hopping will not be backward compatible with legacy UEs.</w:t>
            </w:r>
          </w:p>
        </w:tc>
      </w:tr>
      <w:tr w:rsidR="00AB4183" w:rsidRPr="008A1717" w14:paraId="47F27B4E" w14:textId="77777777" w:rsidTr="00F04697">
        <w:tc>
          <w:tcPr>
            <w:tcW w:w="2122" w:type="dxa"/>
          </w:tcPr>
          <w:p w14:paraId="29E5C76D" w14:textId="77777777" w:rsidR="00AB4183" w:rsidRPr="008A1717" w:rsidRDefault="00AB4183" w:rsidP="00F04697">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_Ref529801415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[6]</w:t>
            </w:r>
            <w:r>
              <w:rPr>
                <w:rFonts w:ascii="Arial" w:hAnsi="Arial" w:cs="Arial"/>
                <w:b/>
                <w:sz w:val="20"/>
                <w:lang w:val="en-GB" w:eastAsia="zh-CN"/>
              </w:rPr>
              <w:fldChar w:fldCharType="end"/>
            </w:r>
            <w:r>
              <w:rPr>
                <w:rFonts w:ascii="Arial" w:hAnsi="Arial" w:cs="Arial"/>
                <w:b/>
                <w:sz w:val="20"/>
                <w:lang w:val="en-GB" w:eastAsia="zh-CN"/>
              </w:rPr>
              <w:t xml:space="preserve"> Qualcomm Incorporated</w:t>
            </w:r>
          </w:p>
        </w:tc>
        <w:tc>
          <w:tcPr>
            <w:tcW w:w="7507" w:type="dxa"/>
          </w:tcPr>
          <w:p w14:paraId="6F205F3C" w14:textId="7B1F5B19" w:rsidR="00AB4183" w:rsidRPr="00AD0CF0" w:rsidRDefault="00852CB5" w:rsidP="00F04697">
            <w:pPr>
              <w:rPr>
                <w:rFonts w:ascii="Arial" w:hAnsi="Arial" w:cs="Arial"/>
                <w:sz w:val="20"/>
                <w:szCs w:val="20"/>
              </w:rPr>
            </w:pPr>
            <w:r w:rsidRPr="00852CB5">
              <w:rPr>
                <w:rFonts w:ascii="Arial" w:hAnsi="Arial" w:cs="Arial"/>
                <w:sz w:val="20"/>
                <w:szCs w:val="20"/>
              </w:rPr>
              <w:t>Proposal: For improving the performance of NR and LTE-MTC coexistence, the enhancements on paging frequency hopping can be considered</w:t>
            </w:r>
          </w:p>
        </w:tc>
      </w:tr>
    </w:tbl>
    <w:p w14:paraId="1727AC75" w14:textId="77777777" w:rsidR="005D723C" w:rsidRPr="008A1717" w:rsidRDefault="005D723C" w:rsidP="005D723C">
      <w:pPr>
        <w:pStyle w:val="Reference"/>
        <w:numPr>
          <w:ilvl w:val="0"/>
          <w:numId w:val="0"/>
        </w:numPr>
        <w:ind w:left="567" w:hanging="567"/>
        <w:rPr>
          <w:rFonts w:ascii="Arial" w:hAnsi="Arial" w:cs="Arial"/>
          <w:sz w:val="20"/>
        </w:rPr>
      </w:pPr>
    </w:p>
    <w:p w14:paraId="714ECE58" w14:textId="57026601" w:rsidR="00435125" w:rsidRDefault="00952845" w:rsidP="00435125">
      <w:pPr>
        <w:pStyle w:val="Heading2"/>
      </w:pPr>
      <w:r>
        <w:lastRenderedPageBreak/>
        <w:t>LTE-M t</w:t>
      </w:r>
      <w:r w:rsidR="00435125">
        <w:t>ransmission outside LTE system bandwidth</w:t>
      </w:r>
    </w:p>
    <w:p w14:paraId="1C0A23C6" w14:textId="4D1DFEC5" w:rsidR="005D723C" w:rsidRDefault="00175ADA" w:rsidP="005D723C">
      <w:pPr>
        <w:pStyle w:val="BodyText"/>
        <w:rPr>
          <w:rFonts w:ascii="Arial" w:hAnsi="Arial" w:cs="Arial"/>
          <w:sz w:val="20"/>
        </w:rPr>
      </w:pPr>
      <w:r>
        <w:rPr>
          <w:rFonts w:ascii="Arial" w:hAnsi="Arial" w:cs="Arial"/>
          <w:sz w:val="20"/>
        </w:rPr>
        <w:t xml:space="preserve">The contributions listed in the table below </w:t>
      </w:r>
      <w:r w:rsidR="00032F7E">
        <w:rPr>
          <w:rFonts w:ascii="Arial" w:hAnsi="Arial" w:cs="Arial"/>
          <w:sz w:val="20"/>
        </w:rPr>
        <w:t xml:space="preserve">discuss </w:t>
      </w:r>
      <w:r w:rsidR="00096EE0">
        <w:rPr>
          <w:rFonts w:ascii="Arial" w:hAnsi="Arial" w:cs="Arial"/>
          <w:sz w:val="20"/>
        </w:rPr>
        <w:t xml:space="preserve">various forms of </w:t>
      </w:r>
      <w:r w:rsidR="00EE42E5">
        <w:rPr>
          <w:rFonts w:ascii="Arial" w:hAnsi="Arial" w:cs="Arial"/>
          <w:sz w:val="20"/>
        </w:rPr>
        <w:t xml:space="preserve">LTE-M transmission </w:t>
      </w:r>
      <w:r w:rsidR="00A55BA2">
        <w:rPr>
          <w:rFonts w:ascii="Arial" w:hAnsi="Arial" w:cs="Arial"/>
          <w:sz w:val="20"/>
        </w:rPr>
        <w:t xml:space="preserve">outside the legacy LTE system bandwidth to achieve </w:t>
      </w:r>
      <w:r w:rsidR="00EE42E5">
        <w:rPr>
          <w:rFonts w:ascii="Arial" w:hAnsi="Arial" w:cs="Arial"/>
          <w:sz w:val="20"/>
        </w:rPr>
        <w:t xml:space="preserve">reduced CRS overhead or </w:t>
      </w:r>
      <w:r w:rsidR="00D402E7">
        <w:rPr>
          <w:rFonts w:ascii="Arial" w:hAnsi="Arial" w:cs="Arial"/>
          <w:sz w:val="20"/>
        </w:rPr>
        <w:t>reduced impact from</w:t>
      </w:r>
      <w:r w:rsidR="00931389">
        <w:rPr>
          <w:rFonts w:ascii="Arial" w:hAnsi="Arial" w:cs="Arial"/>
          <w:sz w:val="20"/>
        </w:rPr>
        <w:t xml:space="preserve"> LTE-M</w:t>
      </w:r>
      <w:r w:rsidR="00D402E7">
        <w:rPr>
          <w:rFonts w:ascii="Arial" w:hAnsi="Arial" w:cs="Arial"/>
          <w:sz w:val="20"/>
        </w:rPr>
        <w:t xml:space="preserve"> frequency hopping on the </w:t>
      </w:r>
      <w:r w:rsidR="009F1FB6">
        <w:rPr>
          <w:rFonts w:ascii="Arial" w:hAnsi="Arial" w:cs="Arial"/>
          <w:sz w:val="20"/>
        </w:rPr>
        <w:t>amount of NR resource</w:t>
      </w:r>
      <w:r w:rsidR="00931389">
        <w:rPr>
          <w:rFonts w:ascii="Arial" w:hAnsi="Arial" w:cs="Arial"/>
          <w:sz w:val="20"/>
        </w:rPr>
        <w:t>s</w:t>
      </w:r>
      <w:r w:rsidR="00400695">
        <w:rPr>
          <w:rFonts w:ascii="Arial" w:hAnsi="Arial" w:cs="Arial"/>
          <w:sz w:val="20"/>
        </w:rPr>
        <w:t xml:space="preserve"> that need to be reserved</w:t>
      </w:r>
      <w:r w:rsidR="00EE42E5">
        <w:rPr>
          <w:rFonts w:ascii="Arial" w:hAnsi="Arial" w:cs="Arial"/>
          <w:sz w:val="20"/>
        </w:rPr>
        <w:t>.</w:t>
      </w:r>
      <w:r w:rsidR="000144D0">
        <w:rPr>
          <w:rFonts w:ascii="Arial" w:hAnsi="Arial" w:cs="Arial"/>
          <w:sz w:val="20"/>
        </w:rPr>
        <w:t xml:space="preserve"> Described approaches include configuration of LTE-M UEs with more than one system bandwidth (</w:t>
      </w:r>
      <w:r w:rsidR="005F735B">
        <w:rPr>
          <w:rFonts w:ascii="Arial" w:hAnsi="Arial" w:cs="Arial"/>
          <w:sz w:val="20"/>
        </w:rPr>
        <w:t>the</w:t>
      </w:r>
      <w:r w:rsidR="000144D0">
        <w:rPr>
          <w:rFonts w:ascii="Arial" w:hAnsi="Arial" w:cs="Arial"/>
          <w:sz w:val="20"/>
        </w:rPr>
        <w:t xml:space="preserve"> legacy system bandwidth </w:t>
      </w:r>
      <w:r w:rsidR="005F735B">
        <w:rPr>
          <w:rFonts w:ascii="Arial" w:hAnsi="Arial" w:cs="Arial"/>
          <w:sz w:val="20"/>
        </w:rPr>
        <w:t>and</w:t>
      </w:r>
      <w:r w:rsidR="000144D0">
        <w:rPr>
          <w:rFonts w:ascii="Arial" w:hAnsi="Arial" w:cs="Arial"/>
          <w:sz w:val="20"/>
        </w:rPr>
        <w:t xml:space="preserve"> one</w:t>
      </w:r>
      <w:r w:rsidR="00CC4C24">
        <w:rPr>
          <w:rFonts w:ascii="Arial" w:hAnsi="Arial" w:cs="Arial"/>
          <w:sz w:val="20"/>
        </w:rPr>
        <w:t xml:space="preserve"> additional,</w:t>
      </w:r>
      <w:r w:rsidR="000144D0">
        <w:rPr>
          <w:rFonts w:ascii="Arial" w:hAnsi="Arial" w:cs="Arial"/>
          <w:sz w:val="20"/>
        </w:rPr>
        <w:t xml:space="preserve"> extended system bandwidth) </w:t>
      </w:r>
      <w:r w:rsidR="00EF1D57">
        <w:rPr>
          <w:rFonts w:ascii="Arial" w:hAnsi="Arial" w:cs="Arial"/>
          <w:sz w:val="20"/>
        </w:rPr>
        <w:t>and configuration of non-anchor LTE-M carriers that can be switch on or off adaptively by eNB.</w:t>
      </w:r>
    </w:p>
    <w:p w14:paraId="077A186B" w14:textId="7B6BD3CC" w:rsidR="008F2B37" w:rsidRDefault="008F2B37" w:rsidP="008F2B37">
      <w:pPr>
        <w:pStyle w:val="BodyText"/>
        <w:rPr>
          <w:rFonts w:ascii="Arial" w:hAnsi="Arial" w:cs="Arial"/>
          <w:sz w:val="20"/>
          <w:highlight w:val="yellow"/>
        </w:rPr>
      </w:pPr>
      <w:r w:rsidRPr="00DF475D">
        <w:rPr>
          <w:rFonts w:ascii="Arial" w:hAnsi="Arial" w:cs="Arial"/>
          <w:sz w:val="20"/>
          <w:highlight w:val="yellow"/>
        </w:rPr>
        <w:t>Feature lead recommendation:</w:t>
      </w:r>
    </w:p>
    <w:p w14:paraId="766D8492" w14:textId="255584F5" w:rsidR="00EC50E2" w:rsidRPr="00096EE0" w:rsidRDefault="008F2B37" w:rsidP="00096EE0">
      <w:pPr>
        <w:pStyle w:val="BodyText"/>
        <w:numPr>
          <w:ilvl w:val="0"/>
          <w:numId w:val="43"/>
        </w:numPr>
        <w:rPr>
          <w:rFonts w:ascii="Arial" w:hAnsi="Arial" w:cs="Arial"/>
          <w:sz w:val="20"/>
        </w:rPr>
      </w:pPr>
      <w:r w:rsidRPr="00A5361C">
        <w:rPr>
          <w:rFonts w:ascii="Arial" w:hAnsi="Arial" w:cs="Arial"/>
          <w:sz w:val="20"/>
        </w:rPr>
        <w:t xml:space="preserve">RAN1 </w:t>
      </w:r>
      <w:r w:rsidR="000144D0">
        <w:rPr>
          <w:rFonts w:ascii="Arial" w:hAnsi="Arial" w:cs="Arial"/>
          <w:sz w:val="20"/>
        </w:rPr>
        <w:t>discusses whether to further consider LTE-M</w:t>
      </w:r>
      <w:r w:rsidR="007C3E70">
        <w:rPr>
          <w:rFonts w:ascii="Arial" w:hAnsi="Arial" w:cs="Arial"/>
          <w:sz w:val="20"/>
        </w:rPr>
        <w:t>TC</w:t>
      </w:r>
      <w:r w:rsidR="000144D0">
        <w:rPr>
          <w:rFonts w:ascii="Arial" w:hAnsi="Arial" w:cs="Arial"/>
          <w:sz w:val="20"/>
        </w:rPr>
        <w:t xml:space="preserve"> transmission outside the legacy LTE system bandwidth (according to one or more of the described approaches or other approaches)</w:t>
      </w:r>
      <w:r w:rsidR="00D11CF3">
        <w:rPr>
          <w:rFonts w:ascii="Arial" w:hAnsi="Arial" w:cs="Arial"/>
          <w:sz w:val="20"/>
        </w:rPr>
        <w:t xml:space="preserve"> in Rel-16</w:t>
      </w:r>
      <w:bookmarkStart w:id="3" w:name="_GoBack"/>
      <w:bookmarkEnd w:id="3"/>
      <w:r w:rsidR="000144D0">
        <w:rPr>
          <w:rFonts w:ascii="Arial" w:hAnsi="Arial" w:cs="Arial"/>
          <w:sz w:val="20"/>
        </w:rPr>
        <w:t>.</w:t>
      </w:r>
    </w:p>
    <w:tbl>
      <w:tblPr>
        <w:tblStyle w:val="TableGrid"/>
        <w:tblW w:w="0" w:type="auto"/>
        <w:tblLook w:val="04A0" w:firstRow="1" w:lastRow="0" w:firstColumn="1" w:lastColumn="0" w:noHBand="0" w:noVBand="1"/>
      </w:tblPr>
      <w:tblGrid>
        <w:gridCol w:w="2122"/>
        <w:gridCol w:w="7507"/>
      </w:tblGrid>
      <w:tr w:rsidR="008E78EE" w:rsidRPr="008A1717" w14:paraId="257EAFBA" w14:textId="77777777" w:rsidTr="00F04697">
        <w:tc>
          <w:tcPr>
            <w:tcW w:w="2122" w:type="dxa"/>
          </w:tcPr>
          <w:p w14:paraId="6D968E4A" w14:textId="77777777" w:rsidR="008E78EE" w:rsidRPr="008A1717" w:rsidRDefault="008E78EE" w:rsidP="008E78EE">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_Ref1595240 \r \h  \* MERGEFORMAT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[2]</w:t>
            </w:r>
            <w:r>
              <w:rPr>
                <w:rFonts w:ascii="Arial" w:hAnsi="Arial" w:cs="Arial"/>
                <w:b/>
                <w:sz w:val="20"/>
                <w:lang w:val="en-GB" w:eastAsia="zh-CN"/>
              </w:rPr>
              <w:fldChar w:fldCharType="end"/>
            </w:r>
            <w:r>
              <w:rPr>
                <w:rFonts w:ascii="Arial" w:hAnsi="Arial" w:cs="Arial"/>
                <w:b/>
                <w:sz w:val="20"/>
                <w:lang w:val="en-GB" w:eastAsia="zh-CN"/>
              </w:rPr>
              <w:t xml:space="preserve"> Ericsson</w:t>
            </w:r>
          </w:p>
        </w:tc>
        <w:tc>
          <w:tcPr>
            <w:tcW w:w="7507" w:type="dxa"/>
          </w:tcPr>
          <w:p w14:paraId="43DD8D33" w14:textId="0723E39B" w:rsidR="008E78EE" w:rsidRPr="008A1717" w:rsidRDefault="008E78EE" w:rsidP="008E78EE">
            <w:pPr>
              <w:rPr>
                <w:rFonts w:ascii="Arial" w:hAnsi="Arial" w:cs="Arial"/>
                <w:sz w:val="20"/>
                <w:lang w:val="en-GB" w:eastAsia="zh-CN"/>
              </w:rPr>
            </w:pPr>
            <w:r w:rsidRPr="00CF009F">
              <w:rPr>
                <w:rFonts w:ascii="Arial" w:hAnsi="Arial" w:cs="Arial"/>
                <w:sz w:val="20"/>
                <w:lang w:val="en-GB" w:eastAsia="zh-CN"/>
              </w:rPr>
              <w:t>Proposal</w:t>
            </w:r>
            <w:r>
              <w:rPr>
                <w:rFonts w:ascii="Arial" w:hAnsi="Arial" w:cs="Arial"/>
                <w:sz w:val="20"/>
                <w:lang w:val="en-GB" w:eastAsia="zh-CN"/>
              </w:rPr>
              <w:t xml:space="preserve">: </w:t>
            </w:r>
            <w:r w:rsidRPr="00CF009F">
              <w:rPr>
                <w:rFonts w:ascii="Arial" w:hAnsi="Arial" w:cs="Arial"/>
                <w:sz w:val="20"/>
                <w:lang w:val="en-GB" w:eastAsia="zh-CN"/>
              </w:rPr>
              <w:t>One possible approach for LTE-M transmission outside legacy LTE system bandwidth that can be considered is introduction of adaptive non-anchor LTE-M carriers.</w:t>
            </w:r>
          </w:p>
        </w:tc>
      </w:tr>
      <w:tr w:rsidR="008E78EE" w:rsidRPr="008A1717" w14:paraId="6BC0C0AB" w14:textId="77777777" w:rsidTr="00F04697">
        <w:tc>
          <w:tcPr>
            <w:tcW w:w="2122" w:type="dxa"/>
          </w:tcPr>
          <w:p w14:paraId="7F3904CD" w14:textId="77777777" w:rsidR="008E78EE" w:rsidRPr="008A1717" w:rsidRDefault="008E78EE" w:rsidP="008E78EE">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_Ref529801589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[4]</w:t>
            </w:r>
            <w:r>
              <w:rPr>
                <w:rFonts w:ascii="Arial" w:hAnsi="Arial" w:cs="Arial"/>
                <w:b/>
                <w:sz w:val="20"/>
                <w:lang w:val="en-GB" w:eastAsia="zh-CN"/>
              </w:rPr>
              <w:fldChar w:fldCharType="end"/>
            </w:r>
            <w:r>
              <w:rPr>
                <w:rFonts w:ascii="Arial" w:hAnsi="Arial" w:cs="Arial"/>
                <w:b/>
                <w:sz w:val="20"/>
                <w:lang w:val="en-GB" w:eastAsia="zh-CN"/>
              </w:rPr>
              <w:t xml:space="preserve"> Nokia, Nokia Shanghai Bell</w:t>
            </w:r>
          </w:p>
        </w:tc>
        <w:tc>
          <w:tcPr>
            <w:tcW w:w="7507" w:type="dxa"/>
          </w:tcPr>
          <w:p w14:paraId="497A1692" w14:textId="742BCB5D" w:rsidR="008E78EE" w:rsidRPr="008A1717" w:rsidRDefault="00F30578" w:rsidP="008E78EE">
            <w:pPr>
              <w:rPr>
                <w:rFonts w:ascii="Arial" w:hAnsi="Arial" w:cs="Arial"/>
                <w:sz w:val="20"/>
                <w:lang w:val="en-GB" w:eastAsia="zh-CN"/>
              </w:rPr>
            </w:pPr>
            <w:r w:rsidRPr="00F30578">
              <w:rPr>
                <w:rFonts w:ascii="Arial" w:hAnsi="Arial" w:cs="Arial"/>
                <w:sz w:val="20"/>
                <w:lang w:val="en-GB" w:eastAsia="zh-CN"/>
              </w:rPr>
              <w:t>Observation: Transmission outside of legacy LTE system bandwidth for Rel-16 and beyond UE can improve LTE-NR coexistence. This, however, would require significant changes to the specifications.</w:t>
            </w:r>
          </w:p>
        </w:tc>
      </w:tr>
      <w:tr w:rsidR="008E78EE" w:rsidRPr="008A1717" w14:paraId="45D9F4D3" w14:textId="77777777" w:rsidTr="00F04697">
        <w:tc>
          <w:tcPr>
            <w:tcW w:w="2122" w:type="dxa"/>
          </w:tcPr>
          <w:p w14:paraId="5CAC53F5" w14:textId="77777777" w:rsidR="008E78EE" w:rsidRPr="008A1717" w:rsidRDefault="008E78EE" w:rsidP="008E78EE">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_Ref5045604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[5]</w:t>
            </w:r>
            <w:r>
              <w:rPr>
                <w:rFonts w:ascii="Arial" w:hAnsi="Arial" w:cs="Arial"/>
                <w:b/>
                <w:sz w:val="20"/>
                <w:lang w:val="en-GB" w:eastAsia="zh-CN"/>
              </w:rPr>
              <w:fldChar w:fldCharType="end"/>
            </w:r>
            <w:r>
              <w:rPr>
                <w:rFonts w:ascii="Arial" w:hAnsi="Arial" w:cs="Arial"/>
                <w:b/>
                <w:sz w:val="20"/>
                <w:lang w:val="en-GB" w:eastAsia="zh-CN"/>
              </w:rPr>
              <w:t xml:space="preserve"> ZTE</w:t>
            </w:r>
          </w:p>
        </w:tc>
        <w:tc>
          <w:tcPr>
            <w:tcW w:w="7507" w:type="dxa"/>
          </w:tcPr>
          <w:p w14:paraId="05376888" w14:textId="77777777" w:rsidR="001F1151" w:rsidRPr="005855F0" w:rsidRDefault="001F1151" w:rsidP="001F1151">
            <w:pPr>
              <w:rPr>
                <w:rFonts w:ascii="Arial" w:hAnsi="Arial" w:cs="Arial"/>
                <w:sz w:val="20"/>
                <w:lang w:eastAsia="zh-CN"/>
              </w:rPr>
            </w:pPr>
            <w:r w:rsidRPr="005855F0">
              <w:rPr>
                <w:rFonts w:ascii="Arial" w:hAnsi="Arial" w:cs="Arial"/>
                <w:sz w:val="20"/>
                <w:lang w:eastAsia="zh-CN"/>
              </w:rPr>
              <w:t>Observation: Small bandwidth LTE-MTC system and additional LTE-MTC PRBs (without CRS REs) with larger virtual bandwidth can work together when they are deployed in the same frequency carrier (i.e., with the same DC sub-carrier).</w:t>
            </w:r>
          </w:p>
          <w:p w14:paraId="39B1D338" w14:textId="77777777" w:rsidR="001F1151" w:rsidRPr="005855F0" w:rsidRDefault="001F1151" w:rsidP="001F1151">
            <w:pPr>
              <w:pStyle w:val="ListParagraph"/>
              <w:numPr>
                <w:ilvl w:val="0"/>
                <w:numId w:val="45"/>
              </w:numPr>
              <w:rPr>
                <w:rFonts w:ascii="Arial" w:hAnsi="Arial" w:cs="Arial"/>
                <w:sz w:val="20"/>
                <w:lang w:eastAsia="zh-CN"/>
              </w:rPr>
            </w:pPr>
            <w:r w:rsidRPr="005855F0">
              <w:rPr>
                <w:rFonts w:ascii="Arial" w:hAnsi="Arial" w:cs="Arial"/>
                <w:sz w:val="20"/>
                <w:lang w:eastAsia="zh-CN"/>
              </w:rPr>
              <w:t>All PRB resources can be utilized if combination of small bandwidth + larger virtual bandwidth is even + even or odd + odd.</w:t>
            </w:r>
          </w:p>
          <w:p w14:paraId="7600CC74" w14:textId="77777777" w:rsidR="001F1151" w:rsidRPr="005855F0" w:rsidRDefault="001F1151" w:rsidP="001F1151">
            <w:pPr>
              <w:pStyle w:val="ListParagraph"/>
              <w:numPr>
                <w:ilvl w:val="0"/>
                <w:numId w:val="45"/>
              </w:numPr>
              <w:rPr>
                <w:rFonts w:ascii="Arial" w:hAnsi="Arial" w:cs="Arial"/>
                <w:sz w:val="20"/>
                <w:lang w:eastAsia="zh-CN"/>
              </w:rPr>
            </w:pPr>
            <w:r w:rsidRPr="005855F0">
              <w:rPr>
                <w:rFonts w:ascii="Arial" w:hAnsi="Arial" w:cs="Arial"/>
                <w:sz w:val="20"/>
                <w:lang w:eastAsia="zh-CN"/>
              </w:rPr>
              <w:t>Few LTE-MTC PRBs cannot be scheduled if combination of small bandwidth + larger virtual bandwidth is even + odd or odd + even.</w:t>
            </w:r>
          </w:p>
          <w:p w14:paraId="17B0786D" w14:textId="77777777" w:rsidR="001F1151" w:rsidRPr="005855F0" w:rsidRDefault="001F1151" w:rsidP="001F1151">
            <w:pPr>
              <w:rPr>
                <w:rFonts w:ascii="Arial" w:hAnsi="Arial" w:cs="Arial"/>
                <w:sz w:val="20"/>
                <w:lang w:eastAsia="zh-CN"/>
              </w:rPr>
            </w:pPr>
            <w:r w:rsidRPr="005855F0">
              <w:rPr>
                <w:rFonts w:ascii="Arial" w:hAnsi="Arial" w:cs="Arial"/>
                <w:sz w:val="20"/>
                <w:lang w:eastAsia="zh-CN"/>
              </w:rPr>
              <w:t>Observation: For the case that NR and LTE-MTC share the whole 15 MHz system bandwidth, if LTE CRS REs are limited within 3 MHz central bandwidth, the NR resource reservation can be reduced by up to 11.4%.</w:t>
            </w:r>
          </w:p>
          <w:p w14:paraId="6808B1DB" w14:textId="77777777" w:rsidR="001F1151" w:rsidRPr="005855F0" w:rsidRDefault="001F1151" w:rsidP="001F1151">
            <w:pPr>
              <w:rPr>
                <w:rFonts w:ascii="Arial" w:hAnsi="Arial" w:cs="Arial"/>
                <w:sz w:val="20"/>
                <w:lang w:eastAsia="zh-CN"/>
              </w:rPr>
            </w:pPr>
            <w:r w:rsidRPr="005855F0">
              <w:rPr>
                <w:rFonts w:ascii="Arial" w:hAnsi="Arial" w:cs="Arial"/>
                <w:sz w:val="20"/>
                <w:lang w:eastAsia="zh-CN"/>
              </w:rPr>
              <w:t xml:space="preserve">Proposal: To improve the performance of coexistence </w:t>
            </w:r>
            <w:r>
              <w:rPr>
                <w:rFonts w:ascii="Arial" w:hAnsi="Arial" w:cs="Arial"/>
                <w:sz w:val="20"/>
                <w:lang w:eastAsia="zh-CN"/>
              </w:rPr>
              <w:t>-</w:t>
            </w:r>
            <w:r w:rsidRPr="005855F0">
              <w:rPr>
                <w:rFonts w:ascii="Arial" w:hAnsi="Arial" w:cs="Arial"/>
                <w:sz w:val="20"/>
                <w:lang w:eastAsia="zh-CN"/>
              </w:rPr>
              <w:t xml:space="preserve">of LTE-MTC with NR, LTE CRS REs </w:t>
            </w:r>
            <w:proofErr w:type="gramStart"/>
            <w:r w:rsidRPr="005855F0">
              <w:rPr>
                <w:rFonts w:ascii="Arial" w:hAnsi="Arial" w:cs="Arial"/>
                <w:sz w:val="20"/>
                <w:lang w:eastAsia="zh-CN"/>
              </w:rPr>
              <w:t>are located in</w:t>
            </w:r>
            <w:proofErr w:type="gramEnd"/>
            <w:r w:rsidRPr="005855F0">
              <w:rPr>
                <w:rFonts w:ascii="Arial" w:hAnsi="Arial" w:cs="Arial"/>
                <w:sz w:val="20"/>
                <w:lang w:eastAsia="zh-CN"/>
              </w:rPr>
              <w:t xml:space="preserve"> bandwidth smaller than the whole bandwidth that LTE-MTC UEs can use.</w:t>
            </w:r>
          </w:p>
          <w:p w14:paraId="309C0A9B" w14:textId="77777777" w:rsidR="001F1151" w:rsidRPr="005855F0" w:rsidRDefault="001F1151" w:rsidP="001F1151">
            <w:pPr>
              <w:pStyle w:val="ListParagraph"/>
              <w:numPr>
                <w:ilvl w:val="0"/>
                <w:numId w:val="45"/>
              </w:numPr>
              <w:rPr>
                <w:rFonts w:ascii="Arial" w:hAnsi="Arial" w:cs="Arial"/>
                <w:sz w:val="20"/>
                <w:lang w:eastAsia="zh-CN"/>
              </w:rPr>
            </w:pPr>
            <w:r w:rsidRPr="005855F0">
              <w:rPr>
                <w:rFonts w:ascii="Arial" w:hAnsi="Arial" w:cs="Arial"/>
                <w:sz w:val="20"/>
                <w:lang w:eastAsia="zh-CN"/>
              </w:rPr>
              <w:t xml:space="preserve">LTE-MTC UEs access the system from the bandwidth including CRS REs while data transmission can be operated in LTE-MTC PRBs with larger virtual bandwidth. </w:t>
            </w:r>
          </w:p>
          <w:p w14:paraId="6D4FB34C" w14:textId="77777777" w:rsidR="001F1151" w:rsidRPr="005855F0" w:rsidRDefault="001F1151" w:rsidP="001F1151">
            <w:pPr>
              <w:pStyle w:val="ListParagraph"/>
              <w:numPr>
                <w:ilvl w:val="0"/>
                <w:numId w:val="45"/>
              </w:numPr>
              <w:rPr>
                <w:rFonts w:ascii="Arial" w:hAnsi="Arial" w:cs="Arial"/>
                <w:sz w:val="20"/>
                <w:lang w:eastAsia="zh-CN"/>
              </w:rPr>
            </w:pPr>
            <w:r w:rsidRPr="005855F0">
              <w:rPr>
                <w:rFonts w:ascii="Arial" w:hAnsi="Arial" w:cs="Arial"/>
                <w:sz w:val="20"/>
                <w:lang w:eastAsia="zh-CN"/>
              </w:rPr>
              <w:t>Bandwidth including LTE CRS REs is indicated in MIB for initial access of LTE-MTC UEs.</w:t>
            </w:r>
          </w:p>
          <w:p w14:paraId="3B2EC13F" w14:textId="77777777" w:rsidR="000037D6" w:rsidRPr="00DA01C4" w:rsidRDefault="001F1151" w:rsidP="000037D6">
            <w:pPr>
              <w:pStyle w:val="ListParagraph"/>
              <w:numPr>
                <w:ilvl w:val="0"/>
                <w:numId w:val="45"/>
              </w:numPr>
              <w:rPr>
                <w:rFonts w:ascii="Arial" w:hAnsi="Arial" w:cs="Arial"/>
                <w:sz w:val="20"/>
                <w:lang w:val="en-GB" w:eastAsia="zh-CN"/>
              </w:rPr>
            </w:pPr>
            <w:r w:rsidRPr="005855F0">
              <w:rPr>
                <w:rFonts w:ascii="Arial" w:hAnsi="Arial" w:cs="Arial"/>
                <w:sz w:val="20"/>
                <w:lang w:eastAsia="zh-CN"/>
              </w:rPr>
              <w:t>The virtual bandwidth for LTE-MTC data scheduling is signaled in SIB1-BR.</w:t>
            </w:r>
          </w:p>
          <w:p w14:paraId="47C742DC" w14:textId="7C976E4B" w:rsidR="005672A2" w:rsidRDefault="005672A2" w:rsidP="00DA01C4">
            <w:pPr>
              <w:rPr>
                <w:rFonts w:ascii="Arial" w:hAnsi="Arial" w:cs="Arial"/>
                <w:sz w:val="20"/>
                <w:lang w:val="en-GB" w:eastAsia="zh-CN"/>
              </w:rPr>
            </w:pPr>
            <w:r w:rsidRPr="00BD22B1">
              <w:rPr>
                <w:rFonts w:ascii="Arial" w:hAnsi="Arial" w:cs="Arial"/>
                <w:sz w:val="20"/>
                <w:lang w:val="en-GB" w:eastAsia="zh-CN"/>
              </w:rPr>
              <w:t>Observation: For the case that NR and LTE-MTC share the same frequency region, restricting the bandwidth for frequency hopping of LTE-MTC can significantly reduce the NR resource reservation</w:t>
            </w:r>
            <w:r>
              <w:rPr>
                <w:rFonts w:ascii="Arial" w:hAnsi="Arial" w:cs="Arial"/>
                <w:sz w:val="20"/>
                <w:lang w:val="en-GB" w:eastAsia="zh-CN"/>
              </w:rPr>
              <w:t>.</w:t>
            </w:r>
          </w:p>
          <w:p w14:paraId="0BB85A2B" w14:textId="0B409600" w:rsidR="00DA01C4" w:rsidRPr="00BD22B1" w:rsidRDefault="00DA01C4" w:rsidP="00DA01C4">
            <w:pPr>
              <w:rPr>
                <w:rFonts w:ascii="Arial" w:hAnsi="Arial" w:cs="Arial"/>
                <w:sz w:val="20"/>
                <w:lang w:val="en-GB" w:eastAsia="zh-CN"/>
              </w:rPr>
            </w:pPr>
            <w:r w:rsidRPr="00BD22B1">
              <w:rPr>
                <w:rFonts w:ascii="Arial" w:hAnsi="Arial" w:cs="Arial"/>
                <w:sz w:val="20"/>
                <w:lang w:val="en-GB" w:eastAsia="zh-CN"/>
              </w:rPr>
              <w:t>Proposal: To improve the performance of coexistence of LTE-MTC with NR, restricting the bandwidth for SIB1-BR frequency hopping can be considered.</w:t>
            </w:r>
          </w:p>
          <w:p w14:paraId="5A1DD750" w14:textId="3A67D3A7" w:rsidR="00DA01C4" w:rsidRPr="001F1151" w:rsidRDefault="00DA01C4" w:rsidP="00DA01C4">
            <w:pPr>
              <w:pStyle w:val="ListParagraph"/>
              <w:numPr>
                <w:ilvl w:val="0"/>
                <w:numId w:val="45"/>
              </w:numPr>
              <w:rPr>
                <w:rFonts w:ascii="Arial" w:hAnsi="Arial" w:cs="Arial"/>
                <w:sz w:val="20"/>
                <w:lang w:val="en-GB" w:eastAsia="zh-CN"/>
              </w:rPr>
            </w:pPr>
            <w:r w:rsidRPr="00BD22B1">
              <w:rPr>
                <w:rFonts w:ascii="Arial" w:hAnsi="Arial" w:cs="Arial"/>
                <w:sz w:val="20"/>
                <w:lang w:val="en-GB" w:eastAsia="zh-CN"/>
              </w:rPr>
              <w:t xml:space="preserve">Restricting the bandwidth for SIB1-BR frequency hopping can be realized by deploying small bandwidth for initial access of LTE-MTC UEs, i.e., the bandwidth for initial access is less than or equal to 5 </w:t>
            </w:r>
            <w:proofErr w:type="spellStart"/>
            <w:r w:rsidRPr="00BD22B1">
              <w:rPr>
                <w:rFonts w:ascii="Arial" w:hAnsi="Arial" w:cs="Arial"/>
                <w:sz w:val="20"/>
                <w:lang w:val="en-GB" w:eastAsia="zh-CN"/>
              </w:rPr>
              <w:t>MHz.</w:t>
            </w:r>
            <w:proofErr w:type="spellEnd"/>
          </w:p>
        </w:tc>
      </w:tr>
      <w:tr w:rsidR="008E78EE" w:rsidRPr="008A1717" w14:paraId="2E70A505" w14:textId="77777777" w:rsidTr="00F04697">
        <w:tc>
          <w:tcPr>
            <w:tcW w:w="2122" w:type="dxa"/>
          </w:tcPr>
          <w:p w14:paraId="5592178C" w14:textId="77777777" w:rsidR="008E78EE" w:rsidRPr="008A1717" w:rsidRDefault="008E78EE" w:rsidP="008E78EE">
            <w:pPr>
              <w:ind w:left="306" w:hanging="306"/>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_Ref529801415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[6]</w:t>
            </w:r>
            <w:r>
              <w:rPr>
                <w:rFonts w:ascii="Arial" w:hAnsi="Arial" w:cs="Arial"/>
                <w:b/>
                <w:sz w:val="20"/>
                <w:lang w:val="en-GB" w:eastAsia="zh-CN"/>
              </w:rPr>
              <w:fldChar w:fldCharType="end"/>
            </w:r>
            <w:r>
              <w:rPr>
                <w:rFonts w:ascii="Arial" w:hAnsi="Arial" w:cs="Arial"/>
                <w:b/>
                <w:sz w:val="20"/>
                <w:lang w:val="en-GB" w:eastAsia="zh-CN"/>
              </w:rPr>
              <w:t xml:space="preserve"> Qualcomm Incorporated</w:t>
            </w:r>
          </w:p>
        </w:tc>
        <w:tc>
          <w:tcPr>
            <w:tcW w:w="7507" w:type="dxa"/>
          </w:tcPr>
          <w:p w14:paraId="609E27FB" w14:textId="22E19D71" w:rsidR="008E78EE" w:rsidRPr="00AD0CF0" w:rsidRDefault="00324857" w:rsidP="008E78EE">
            <w:pPr>
              <w:rPr>
                <w:rFonts w:ascii="Arial" w:hAnsi="Arial" w:cs="Arial"/>
                <w:sz w:val="20"/>
                <w:szCs w:val="20"/>
              </w:rPr>
            </w:pPr>
            <w:r w:rsidRPr="00324857">
              <w:rPr>
                <w:rFonts w:ascii="Arial" w:hAnsi="Arial" w:cs="Arial"/>
                <w:sz w:val="20"/>
                <w:szCs w:val="20"/>
              </w:rPr>
              <w:t>Proposal: Support LTE-MTC transmission outside the LTE system bandwidth with two configured system bandwidth values.</w:t>
            </w:r>
          </w:p>
        </w:tc>
      </w:tr>
      <w:tr w:rsidR="008E78EE" w:rsidRPr="007C2B1D" w14:paraId="13D39DD5" w14:textId="77777777" w:rsidTr="00F04697">
        <w:tc>
          <w:tcPr>
            <w:tcW w:w="2122" w:type="dxa"/>
          </w:tcPr>
          <w:p w14:paraId="32778CAE" w14:textId="77777777" w:rsidR="008E78EE" w:rsidRPr="008A1717" w:rsidRDefault="008E78EE" w:rsidP="008E78EE">
            <w:pPr>
              <w:ind w:left="306" w:hanging="306"/>
              <w:rPr>
                <w:rFonts w:ascii="Arial" w:hAnsi="Arial" w:cs="Arial"/>
                <w:b/>
                <w:sz w:val="20"/>
                <w:lang w:val="en-GB" w:eastAsia="zh-CN"/>
              </w:rPr>
            </w:pPr>
            <w:r>
              <w:rPr>
                <w:rFonts w:ascii="Arial" w:hAnsi="Arial" w:cs="Arial"/>
                <w:b/>
                <w:sz w:val="20"/>
                <w:lang w:val="en-GB" w:eastAsia="zh-CN"/>
              </w:rPr>
              <w:lastRenderedPageBreak/>
              <w:fldChar w:fldCharType="begin"/>
            </w:r>
            <w:r>
              <w:rPr>
                <w:rFonts w:ascii="Arial" w:hAnsi="Arial" w:cs="Arial"/>
                <w:b/>
                <w:sz w:val="20"/>
                <w:lang w:val="en-GB" w:eastAsia="zh-CN"/>
              </w:rPr>
              <w:instrText xml:space="preserve"> REF _Ref5044500 \r \h </w:instrText>
            </w:r>
            <w:r>
              <w:rPr>
                <w:rFonts w:ascii="Arial" w:hAnsi="Arial" w:cs="Arial"/>
                <w:b/>
                <w:sz w:val="20"/>
                <w:lang w:val="en-GB" w:eastAsia="zh-CN"/>
              </w:rPr>
            </w:r>
            <w:r>
              <w:rPr>
                <w:rFonts w:ascii="Arial" w:hAnsi="Arial" w:cs="Arial"/>
                <w:b/>
                <w:sz w:val="20"/>
                <w:lang w:val="en-GB" w:eastAsia="zh-CN"/>
              </w:rPr>
              <w:fldChar w:fldCharType="separate"/>
            </w:r>
            <w:r>
              <w:rPr>
                <w:rFonts w:ascii="Arial" w:hAnsi="Arial" w:cs="Arial"/>
                <w:b/>
                <w:sz w:val="20"/>
                <w:lang w:val="en-GB" w:eastAsia="zh-CN"/>
              </w:rPr>
              <w:t>[7]</w:t>
            </w:r>
            <w:r>
              <w:rPr>
                <w:rFonts w:ascii="Arial" w:hAnsi="Arial" w:cs="Arial"/>
                <w:b/>
                <w:sz w:val="20"/>
                <w:lang w:val="en-GB" w:eastAsia="zh-CN"/>
              </w:rPr>
              <w:fldChar w:fldCharType="end"/>
            </w:r>
            <w:r>
              <w:rPr>
                <w:rFonts w:ascii="Arial" w:hAnsi="Arial" w:cs="Arial"/>
                <w:b/>
                <w:sz w:val="20"/>
                <w:lang w:val="en-GB" w:eastAsia="zh-CN"/>
              </w:rPr>
              <w:t xml:space="preserve"> LG Electronics</w:t>
            </w:r>
          </w:p>
        </w:tc>
        <w:tc>
          <w:tcPr>
            <w:tcW w:w="7507" w:type="dxa"/>
          </w:tcPr>
          <w:p w14:paraId="2F5CBD36" w14:textId="49833E25" w:rsidR="008E78EE" w:rsidRPr="005134E2" w:rsidRDefault="004818A8" w:rsidP="008E78EE">
            <w:pPr>
              <w:rPr>
                <w:rFonts w:ascii="Arial" w:hAnsi="Arial" w:cs="Arial"/>
                <w:sz w:val="20"/>
                <w:szCs w:val="20"/>
              </w:rPr>
            </w:pPr>
            <w:r>
              <w:rPr>
                <w:rFonts w:ascii="Arial" w:hAnsi="Arial" w:cs="Arial"/>
                <w:sz w:val="20"/>
                <w:szCs w:val="20"/>
              </w:rPr>
              <w:t>M</w:t>
            </w:r>
            <w:r w:rsidRPr="004818A8">
              <w:rPr>
                <w:rFonts w:ascii="Arial" w:hAnsi="Arial" w:cs="Arial"/>
                <w:sz w:val="20"/>
                <w:szCs w:val="20"/>
              </w:rPr>
              <w:t>ay require too much elaborate specification work to be properly done in Rel.16 considering extremely flexible design and dynamic operation of NR</w:t>
            </w:r>
          </w:p>
        </w:tc>
      </w:tr>
    </w:tbl>
    <w:p w14:paraId="7FAE900E" w14:textId="77777777" w:rsidR="005D723C" w:rsidRPr="004073FC" w:rsidRDefault="005D723C" w:rsidP="005D723C">
      <w:pPr>
        <w:pStyle w:val="Reference"/>
        <w:numPr>
          <w:ilvl w:val="0"/>
          <w:numId w:val="0"/>
        </w:numPr>
        <w:ind w:left="567" w:hanging="567"/>
        <w:rPr>
          <w:rFonts w:ascii="Arial" w:hAnsi="Arial" w:cs="Arial"/>
          <w:sz w:val="20"/>
        </w:rPr>
      </w:pPr>
    </w:p>
    <w:p w14:paraId="46CF5031" w14:textId="77777777" w:rsidR="00531537" w:rsidRDefault="00531537" w:rsidP="00AD0CF0">
      <w:pPr>
        <w:pStyle w:val="Heading1"/>
        <w:numPr>
          <w:ilvl w:val="0"/>
          <w:numId w:val="0"/>
        </w:numPr>
        <w:ind w:left="432" w:hanging="432"/>
        <w:jc w:val="both"/>
        <w:textAlignment w:val="auto"/>
        <w:rPr>
          <w:lang w:val="en-US"/>
        </w:rPr>
      </w:pPr>
      <w:r>
        <w:rPr>
          <w:lang w:val="en-US"/>
        </w:rPr>
        <w:t>References</w:t>
      </w:r>
    </w:p>
    <w:bookmarkStart w:id="4" w:name="_Ref189809556"/>
    <w:bookmarkStart w:id="5" w:name="_Ref174151459"/>
    <w:bookmarkStart w:id="6" w:name="_Ref522090563"/>
    <w:p w14:paraId="2548A56D" w14:textId="56564D8B" w:rsidR="008903C6" w:rsidRDefault="00783CCB" w:rsidP="008903C6">
      <w:pPr>
        <w:pStyle w:val="Reference"/>
        <w:numPr>
          <w:ilvl w:val="0"/>
          <w:numId w:val="10"/>
        </w:numPr>
        <w:overflowPunct w:val="0"/>
        <w:autoSpaceDE w:val="0"/>
        <w:autoSpaceDN w:val="0"/>
        <w:adjustRightInd w:val="0"/>
        <w:spacing w:after="120" w:line="240" w:lineRule="auto"/>
        <w:jc w:val="both"/>
        <w:rPr>
          <w:rFonts w:ascii="Arial" w:hAnsi="Arial" w:cs="Arial"/>
          <w:sz w:val="20"/>
        </w:rPr>
      </w:pPr>
      <w:r w:rsidRPr="00783CCB">
        <w:rPr>
          <w:rFonts w:ascii="Arial" w:hAnsi="Arial" w:cs="Arial"/>
          <w:sz w:val="20"/>
        </w:rPr>
        <w:fldChar w:fldCharType="begin"/>
      </w:r>
      <w:r w:rsidRPr="00783CCB">
        <w:rPr>
          <w:rFonts w:ascii="Arial" w:hAnsi="Arial" w:cs="Arial"/>
          <w:sz w:val="20"/>
        </w:rPr>
        <w:instrText xml:space="preserve"> HYPERLINK "http://www.3gpp.org/ftp/tsg_ran/TSG_RAN/TSGR_83/Docs/RP-190770.zip" </w:instrText>
      </w:r>
      <w:r w:rsidRPr="00783CCB">
        <w:rPr>
          <w:rFonts w:ascii="Arial" w:hAnsi="Arial" w:cs="Arial"/>
          <w:sz w:val="20"/>
        </w:rPr>
        <w:fldChar w:fldCharType="separate"/>
      </w:r>
      <w:r w:rsidRPr="00783CCB">
        <w:rPr>
          <w:rStyle w:val="Hyperlink"/>
          <w:rFonts w:ascii="Arial" w:hAnsi="Arial" w:cs="Arial"/>
          <w:sz w:val="20"/>
          <w:lang w:val="en-US"/>
        </w:rPr>
        <w:t>RP-190770</w:t>
      </w:r>
      <w:r w:rsidRPr="00783CCB">
        <w:rPr>
          <w:rFonts w:ascii="Arial" w:hAnsi="Arial" w:cs="Arial"/>
          <w:sz w:val="20"/>
        </w:rPr>
        <w:fldChar w:fldCharType="end"/>
      </w:r>
      <w:r w:rsidR="008903C6" w:rsidRPr="00964115">
        <w:rPr>
          <w:rFonts w:ascii="Arial" w:hAnsi="Arial" w:cs="Arial"/>
          <w:sz w:val="20"/>
        </w:rPr>
        <w:t>, “Revised WID: Additional MTC enhancements for LTE”</w:t>
      </w:r>
      <w:bookmarkEnd w:id="4"/>
      <w:bookmarkEnd w:id="5"/>
    </w:p>
    <w:bookmarkStart w:id="7" w:name="_Ref1595240"/>
    <w:bookmarkStart w:id="8" w:name="_Ref529801572"/>
    <w:bookmarkStart w:id="9" w:name="_Ref529801413"/>
    <w:bookmarkEnd w:id="6"/>
    <w:p w14:paraId="07993681" w14:textId="1AE3C5D6" w:rsidR="00783CCB" w:rsidRPr="00941576" w:rsidRDefault="00941576" w:rsidP="00941576">
      <w:pPr>
        <w:pStyle w:val="Reference"/>
        <w:numPr>
          <w:ilvl w:val="0"/>
          <w:numId w:val="10"/>
        </w:numPr>
        <w:rPr>
          <w:rFonts w:ascii="Arial" w:hAnsi="Arial" w:cs="Arial"/>
          <w:sz w:val="20"/>
          <w:u w:val="single"/>
        </w:rPr>
      </w:pPr>
      <w:r w:rsidRPr="00941576">
        <w:rPr>
          <w:rFonts w:ascii="Arial" w:hAnsi="Arial" w:cs="Arial"/>
          <w:sz w:val="20"/>
          <w:u w:val="single"/>
        </w:rPr>
        <w:fldChar w:fldCharType="begin"/>
      </w:r>
      <w:r w:rsidRPr="00941576">
        <w:rPr>
          <w:rFonts w:ascii="Arial" w:hAnsi="Arial" w:cs="Arial"/>
          <w:sz w:val="20"/>
          <w:u w:val="single"/>
        </w:rPr>
        <w:instrText xml:space="preserve"> HYPERLINK "http://www.3gpp.org/ftp/TSG_RAN/WG1_RL1/TSGR1_96b/Docs/R1-1903885.zip" </w:instrText>
      </w:r>
      <w:r w:rsidRPr="00941576">
        <w:rPr>
          <w:rFonts w:ascii="Arial" w:hAnsi="Arial" w:cs="Arial"/>
          <w:sz w:val="20"/>
          <w:u w:val="single"/>
        </w:rPr>
        <w:fldChar w:fldCharType="separate"/>
      </w:r>
      <w:r w:rsidRPr="00941576">
        <w:rPr>
          <w:rStyle w:val="Hyperlink"/>
          <w:rFonts w:ascii="Arial" w:hAnsi="Arial" w:cs="Arial"/>
          <w:sz w:val="20"/>
        </w:rPr>
        <w:t>R1-1903885</w:t>
      </w:r>
      <w:r w:rsidRPr="00941576">
        <w:rPr>
          <w:rFonts w:ascii="Arial" w:hAnsi="Arial" w:cs="Arial"/>
          <w:sz w:val="20"/>
        </w:rPr>
        <w:fldChar w:fldCharType="end"/>
      </w:r>
      <w:r w:rsidR="00783CCB" w:rsidRPr="00941576">
        <w:rPr>
          <w:rFonts w:ascii="Arial" w:hAnsi="Arial" w:cs="Arial"/>
          <w:sz w:val="20"/>
        </w:rPr>
        <w:t>, “Coexistence of LTE-MTC with NR”, Ericsson</w:t>
      </w:r>
      <w:bookmarkEnd w:id="7"/>
    </w:p>
    <w:bookmarkStart w:id="10" w:name="_Ref5045587"/>
    <w:p w14:paraId="4B3CF6E4" w14:textId="2F296F78" w:rsidR="00B13B8D" w:rsidRPr="00941576" w:rsidRDefault="00941576" w:rsidP="00941576">
      <w:pPr>
        <w:pStyle w:val="Reference"/>
        <w:numPr>
          <w:ilvl w:val="0"/>
          <w:numId w:val="10"/>
        </w:numPr>
        <w:rPr>
          <w:rFonts w:ascii="Arial" w:hAnsi="Arial" w:cs="Arial"/>
          <w:sz w:val="20"/>
          <w:u w:val="single"/>
        </w:rPr>
      </w:pPr>
      <w:r w:rsidRPr="00941576">
        <w:rPr>
          <w:rFonts w:ascii="Arial" w:hAnsi="Arial" w:cs="Arial"/>
          <w:sz w:val="20"/>
          <w:u w:val="single"/>
        </w:rPr>
        <w:fldChar w:fldCharType="begin"/>
      </w:r>
      <w:r w:rsidRPr="00941576">
        <w:rPr>
          <w:rFonts w:ascii="Arial" w:hAnsi="Arial" w:cs="Arial"/>
          <w:sz w:val="20"/>
          <w:u w:val="single"/>
        </w:rPr>
        <w:instrText xml:space="preserve"> HYPERLINK "http://www.3gpp.org/ftp/TSG_RAN/WG1_RL1/TSGR1_96b/Docs/R1-1903922.zip" </w:instrText>
      </w:r>
      <w:r w:rsidRPr="00941576">
        <w:rPr>
          <w:rFonts w:ascii="Arial" w:hAnsi="Arial" w:cs="Arial"/>
          <w:sz w:val="20"/>
          <w:u w:val="single"/>
        </w:rPr>
        <w:fldChar w:fldCharType="separate"/>
      </w:r>
      <w:r w:rsidRPr="00941576">
        <w:rPr>
          <w:rStyle w:val="Hyperlink"/>
          <w:rFonts w:ascii="Arial" w:hAnsi="Arial" w:cs="Arial"/>
          <w:sz w:val="20"/>
        </w:rPr>
        <w:t>R1-1903922</w:t>
      </w:r>
      <w:r w:rsidRPr="00941576">
        <w:rPr>
          <w:rFonts w:ascii="Arial" w:hAnsi="Arial" w:cs="Arial"/>
          <w:sz w:val="20"/>
        </w:rPr>
        <w:fldChar w:fldCharType="end"/>
      </w:r>
      <w:r w:rsidR="00B13B8D" w:rsidRPr="00941576">
        <w:rPr>
          <w:rFonts w:ascii="Arial" w:hAnsi="Arial" w:cs="Arial"/>
          <w:sz w:val="20"/>
        </w:rPr>
        <w:t>, “</w:t>
      </w:r>
      <w:r w:rsidR="00D57A01" w:rsidRPr="00941576">
        <w:rPr>
          <w:rFonts w:ascii="Arial" w:hAnsi="Arial" w:cs="Arial"/>
          <w:sz w:val="20"/>
        </w:rPr>
        <w:t>On eMTC c</w:t>
      </w:r>
      <w:r w:rsidR="00B13B8D" w:rsidRPr="00941576">
        <w:rPr>
          <w:rFonts w:ascii="Arial" w:hAnsi="Arial" w:cs="Arial"/>
          <w:sz w:val="20"/>
        </w:rPr>
        <w:t>o-existence with NR”, Huawei, HiSilicon</w:t>
      </w:r>
      <w:bookmarkEnd w:id="8"/>
      <w:bookmarkEnd w:id="10"/>
    </w:p>
    <w:bookmarkStart w:id="11" w:name="_Ref529801589"/>
    <w:bookmarkStart w:id="12" w:name="_Ref529801580"/>
    <w:bookmarkStart w:id="13" w:name="_Ref529801527"/>
    <w:bookmarkEnd w:id="9"/>
    <w:p w14:paraId="15DF603A" w14:textId="522CADE2" w:rsidR="00783CCB" w:rsidRPr="00941576" w:rsidRDefault="00941576" w:rsidP="00941576">
      <w:pPr>
        <w:pStyle w:val="Reference"/>
        <w:numPr>
          <w:ilvl w:val="0"/>
          <w:numId w:val="10"/>
        </w:numPr>
        <w:rPr>
          <w:rFonts w:ascii="Arial" w:hAnsi="Arial" w:cs="Arial"/>
          <w:sz w:val="20"/>
          <w:u w:val="single"/>
        </w:rPr>
      </w:pPr>
      <w:r w:rsidRPr="00941576">
        <w:rPr>
          <w:rFonts w:ascii="Arial" w:hAnsi="Arial" w:cs="Arial"/>
          <w:sz w:val="20"/>
          <w:u w:val="single"/>
        </w:rPr>
        <w:fldChar w:fldCharType="begin"/>
      </w:r>
      <w:r w:rsidRPr="00941576">
        <w:rPr>
          <w:rFonts w:ascii="Arial" w:hAnsi="Arial" w:cs="Arial"/>
          <w:sz w:val="20"/>
          <w:u w:val="single"/>
        </w:rPr>
        <w:instrText xml:space="preserve"> HYPERLINK "http://www.3gpp.org/ftp/TSG_RAN/WG1_RL1/TSGR1_96b/Docs/R1-1904170.zip" </w:instrText>
      </w:r>
      <w:r w:rsidRPr="00941576">
        <w:rPr>
          <w:rFonts w:ascii="Arial" w:hAnsi="Arial" w:cs="Arial"/>
          <w:sz w:val="20"/>
          <w:u w:val="single"/>
        </w:rPr>
        <w:fldChar w:fldCharType="separate"/>
      </w:r>
      <w:r w:rsidRPr="00941576">
        <w:rPr>
          <w:rStyle w:val="Hyperlink"/>
          <w:rFonts w:ascii="Arial" w:hAnsi="Arial" w:cs="Arial"/>
          <w:sz w:val="20"/>
        </w:rPr>
        <w:t>R1-1904170</w:t>
      </w:r>
      <w:r w:rsidRPr="00941576">
        <w:rPr>
          <w:rFonts w:ascii="Arial" w:hAnsi="Arial" w:cs="Arial"/>
          <w:sz w:val="20"/>
        </w:rPr>
        <w:fldChar w:fldCharType="end"/>
      </w:r>
      <w:r w:rsidR="00783CCB" w:rsidRPr="00941576">
        <w:rPr>
          <w:rFonts w:ascii="Arial" w:hAnsi="Arial" w:cs="Arial"/>
          <w:sz w:val="20"/>
        </w:rPr>
        <w:t>, “Coexistence of eMTC with NR”, Nokia, Nokia Shanghai Bell</w:t>
      </w:r>
      <w:bookmarkEnd w:id="11"/>
    </w:p>
    <w:bookmarkStart w:id="14" w:name="_Ref5045604"/>
    <w:p w14:paraId="147C09BA" w14:textId="17179570" w:rsidR="00B13B8D" w:rsidRPr="00941576" w:rsidRDefault="00941576" w:rsidP="00941576">
      <w:pPr>
        <w:pStyle w:val="Reference"/>
        <w:numPr>
          <w:ilvl w:val="0"/>
          <w:numId w:val="10"/>
        </w:numPr>
        <w:rPr>
          <w:rFonts w:ascii="Arial" w:hAnsi="Arial" w:cs="Arial"/>
          <w:sz w:val="20"/>
          <w:u w:val="single"/>
        </w:rPr>
      </w:pPr>
      <w:r w:rsidRPr="00941576">
        <w:rPr>
          <w:rFonts w:ascii="Arial" w:hAnsi="Arial" w:cs="Arial"/>
          <w:sz w:val="20"/>
          <w:u w:val="single"/>
        </w:rPr>
        <w:fldChar w:fldCharType="begin"/>
      </w:r>
      <w:r w:rsidRPr="00941576">
        <w:rPr>
          <w:rFonts w:ascii="Arial" w:hAnsi="Arial" w:cs="Arial"/>
          <w:sz w:val="20"/>
          <w:u w:val="single"/>
        </w:rPr>
        <w:instrText xml:space="preserve"> HYPERLINK "http://www.3gpp.org/ftp/TSG_RAN/WG1_RL1/TSGR1_96b/Docs/R1-1904345.zip" </w:instrText>
      </w:r>
      <w:r w:rsidRPr="00941576">
        <w:rPr>
          <w:rFonts w:ascii="Arial" w:hAnsi="Arial" w:cs="Arial"/>
          <w:sz w:val="20"/>
          <w:u w:val="single"/>
        </w:rPr>
        <w:fldChar w:fldCharType="separate"/>
      </w:r>
      <w:r w:rsidRPr="00941576">
        <w:rPr>
          <w:rStyle w:val="Hyperlink"/>
          <w:rFonts w:ascii="Arial" w:hAnsi="Arial" w:cs="Arial"/>
          <w:sz w:val="20"/>
        </w:rPr>
        <w:t>R1-1904345</w:t>
      </w:r>
      <w:r w:rsidRPr="00941576">
        <w:rPr>
          <w:rFonts w:ascii="Arial" w:hAnsi="Arial" w:cs="Arial"/>
          <w:sz w:val="20"/>
        </w:rPr>
        <w:fldChar w:fldCharType="end"/>
      </w:r>
      <w:r w:rsidR="00B13B8D" w:rsidRPr="00941576">
        <w:rPr>
          <w:rFonts w:ascii="Arial" w:hAnsi="Arial" w:cs="Arial"/>
          <w:sz w:val="20"/>
        </w:rPr>
        <w:t>, “Coexistence of LTE-MTC with NR”, ZTE</w:t>
      </w:r>
      <w:bookmarkEnd w:id="12"/>
      <w:bookmarkEnd w:id="14"/>
    </w:p>
    <w:bookmarkStart w:id="15" w:name="_Hlk5141231"/>
    <w:bookmarkStart w:id="16" w:name="_Ref529801415"/>
    <w:bookmarkStart w:id="17" w:name="_Ref1595295"/>
    <w:p w14:paraId="57B3617E" w14:textId="14F53F07" w:rsidR="00783CCB" w:rsidRPr="0058242F" w:rsidRDefault="0058242F" w:rsidP="0058242F">
      <w:pPr>
        <w:pStyle w:val="Reference"/>
        <w:numPr>
          <w:ilvl w:val="0"/>
          <w:numId w:val="10"/>
        </w:numPr>
        <w:rPr>
          <w:rFonts w:ascii="Arial" w:hAnsi="Arial" w:cs="Arial"/>
          <w:sz w:val="20"/>
          <w:u w:val="single"/>
        </w:rPr>
      </w:pPr>
      <w:r w:rsidRPr="0058242F">
        <w:rPr>
          <w:rFonts w:ascii="Arial" w:hAnsi="Arial" w:cs="Arial"/>
          <w:sz w:val="20"/>
          <w:u w:val="single"/>
        </w:rPr>
        <w:fldChar w:fldCharType="begin"/>
      </w:r>
      <w:r w:rsidRPr="0058242F">
        <w:rPr>
          <w:rFonts w:ascii="Arial" w:hAnsi="Arial" w:cs="Arial"/>
          <w:sz w:val="20"/>
          <w:u w:val="single"/>
        </w:rPr>
        <w:instrText xml:space="preserve"> HYPERLINK "http://www.3gpp.org/ftp/TSG_RAN/WG1_RL1/TSGR1_96b/Docs/R1-1904520.zip" </w:instrText>
      </w:r>
      <w:r w:rsidRPr="0058242F">
        <w:rPr>
          <w:rFonts w:ascii="Arial" w:hAnsi="Arial" w:cs="Arial"/>
          <w:sz w:val="20"/>
          <w:u w:val="single"/>
        </w:rPr>
        <w:fldChar w:fldCharType="separate"/>
      </w:r>
      <w:r w:rsidRPr="0058242F">
        <w:rPr>
          <w:rStyle w:val="Hyperlink"/>
          <w:rFonts w:ascii="Arial" w:hAnsi="Arial" w:cs="Arial"/>
          <w:sz w:val="20"/>
        </w:rPr>
        <w:t>R1-1904520</w:t>
      </w:r>
      <w:r w:rsidRPr="0058242F">
        <w:rPr>
          <w:rFonts w:ascii="Arial" w:hAnsi="Arial" w:cs="Arial"/>
          <w:sz w:val="20"/>
        </w:rPr>
        <w:fldChar w:fldCharType="end"/>
      </w:r>
      <w:bookmarkEnd w:id="15"/>
      <w:r w:rsidR="00783CCB" w:rsidRPr="0058242F">
        <w:rPr>
          <w:rFonts w:ascii="Arial" w:hAnsi="Arial" w:cs="Arial"/>
          <w:sz w:val="20"/>
        </w:rPr>
        <w:t>, “Coexistence of LTE-MTC with NR”, Qualcomm Incorporated</w:t>
      </w:r>
      <w:bookmarkEnd w:id="16"/>
    </w:p>
    <w:bookmarkStart w:id="18" w:name="_Ref5044500"/>
    <w:p w14:paraId="7253B911" w14:textId="7CEAA288" w:rsidR="00DA0850" w:rsidRPr="00DE73A4" w:rsidRDefault="0058242F" w:rsidP="0058242F">
      <w:pPr>
        <w:pStyle w:val="Reference"/>
        <w:numPr>
          <w:ilvl w:val="0"/>
          <w:numId w:val="10"/>
        </w:numPr>
        <w:rPr>
          <w:rFonts w:ascii="Arial" w:hAnsi="Arial" w:cs="Arial"/>
          <w:sz w:val="20"/>
          <w:u w:val="single"/>
        </w:rPr>
      </w:pPr>
      <w:r w:rsidRPr="0058242F">
        <w:rPr>
          <w:rFonts w:ascii="Arial" w:hAnsi="Arial" w:cs="Arial"/>
          <w:sz w:val="20"/>
          <w:u w:val="single"/>
        </w:rPr>
        <w:fldChar w:fldCharType="begin"/>
      </w:r>
      <w:r w:rsidRPr="0058242F">
        <w:rPr>
          <w:rFonts w:ascii="Arial" w:hAnsi="Arial" w:cs="Arial"/>
          <w:sz w:val="20"/>
          <w:u w:val="single"/>
        </w:rPr>
        <w:instrText xml:space="preserve"> HYPERLINK "http://www.3gpp.org/ftp/TSG_RAN/WG1_RL1/TSGR1_96b/Docs/R1-1904608.zip" </w:instrText>
      </w:r>
      <w:r w:rsidRPr="0058242F">
        <w:rPr>
          <w:rFonts w:ascii="Arial" w:hAnsi="Arial" w:cs="Arial"/>
          <w:sz w:val="20"/>
          <w:u w:val="single"/>
        </w:rPr>
        <w:fldChar w:fldCharType="separate"/>
      </w:r>
      <w:r w:rsidRPr="0058242F">
        <w:rPr>
          <w:rStyle w:val="Hyperlink"/>
          <w:rFonts w:ascii="Arial" w:hAnsi="Arial" w:cs="Arial"/>
          <w:sz w:val="20"/>
        </w:rPr>
        <w:t>R1-1904608</w:t>
      </w:r>
      <w:r w:rsidRPr="0058242F">
        <w:rPr>
          <w:rFonts w:ascii="Arial" w:hAnsi="Arial" w:cs="Arial"/>
          <w:sz w:val="20"/>
        </w:rPr>
        <w:fldChar w:fldCharType="end"/>
      </w:r>
      <w:r w:rsidR="00010074" w:rsidRPr="0058242F">
        <w:rPr>
          <w:rFonts w:ascii="Arial" w:hAnsi="Arial" w:cs="Arial"/>
          <w:sz w:val="20"/>
        </w:rPr>
        <w:t>, “Discussion on coexistence of LTE-MTC with NR”, LG Electronics</w:t>
      </w:r>
      <w:bookmarkStart w:id="19" w:name="REF1"/>
      <w:bookmarkEnd w:id="13"/>
      <w:bookmarkEnd w:id="17"/>
      <w:bookmarkEnd w:id="18"/>
      <w:bookmarkEnd w:id="19"/>
    </w:p>
    <w:p w14:paraId="506A3DDB" w14:textId="77777777" w:rsidR="00DE73A4" w:rsidRPr="00AD0CF0" w:rsidRDefault="00DE73A4" w:rsidP="00DE73A4">
      <w:pPr>
        <w:pStyle w:val="Reference"/>
        <w:numPr>
          <w:ilvl w:val="0"/>
          <w:numId w:val="0"/>
        </w:numPr>
        <w:ind w:left="567" w:hanging="567"/>
        <w:rPr>
          <w:rFonts w:ascii="Arial" w:hAnsi="Arial" w:cs="Arial"/>
          <w:sz w:val="20"/>
          <w:u w:val="single"/>
        </w:rPr>
      </w:pPr>
    </w:p>
    <w:p w14:paraId="0B841D35" w14:textId="65A4889C" w:rsidR="00AD0CF0" w:rsidRDefault="00AD0CF0" w:rsidP="00AD0CF0">
      <w:pPr>
        <w:pStyle w:val="Heading1"/>
        <w:numPr>
          <w:ilvl w:val="0"/>
          <w:numId w:val="0"/>
        </w:numPr>
        <w:ind w:left="432" w:hanging="432"/>
        <w:jc w:val="both"/>
        <w:textAlignment w:val="auto"/>
        <w:rPr>
          <w:lang w:val="en-US"/>
        </w:rPr>
      </w:pPr>
      <w:r>
        <w:rPr>
          <w:lang w:val="en-US"/>
        </w:rPr>
        <w:t>Annex: RAN1 agreements</w:t>
      </w:r>
    </w:p>
    <w:p w14:paraId="634FA777" w14:textId="77777777" w:rsidR="00AD0CF0" w:rsidRPr="007C2B1D" w:rsidRDefault="00AD0CF0" w:rsidP="00AD0CF0">
      <w:pPr>
        <w:pStyle w:val="BodyText"/>
        <w:rPr>
          <w:rFonts w:ascii="Arial" w:hAnsi="Arial" w:cs="Arial"/>
          <w:sz w:val="20"/>
        </w:rPr>
      </w:pPr>
      <w:r w:rsidRPr="007C2B1D">
        <w:rPr>
          <w:rFonts w:ascii="Arial" w:hAnsi="Arial" w:cs="Arial"/>
          <w:sz w:val="20"/>
        </w:rPr>
        <w:t>RAN1#94 made the following observation and agreement:</w:t>
      </w:r>
    </w:p>
    <w:tbl>
      <w:tblPr>
        <w:tblStyle w:val="TableGrid"/>
        <w:tblW w:w="0" w:type="auto"/>
        <w:tblLook w:val="04A0" w:firstRow="1" w:lastRow="0" w:firstColumn="1" w:lastColumn="0" w:noHBand="0" w:noVBand="1"/>
      </w:tblPr>
      <w:tblGrid>
        <w:gridCol w:w="9629"/>
      </w:tblGrid>
      <w:tr w:rsidR="00AD0CF0" w14:paraId="721404B2" w14:textId="77777777" w:rsidTr="00F04697">
        <w:tc>
          <w:tcPr>
            <w:tcW w:w="9629" w:type="dxa"/>
          </w:tcPr>
          <w:p w14:paraId="01D86AC8" w14:textId="77777777" w:rsidR="00AD0CF0" w:rsidRPr="0088189C" w:rsidRDefault="00AD0CF0" w:rsidP="00F04697">
            <w:pPr>
              <w:spacing w:after="0" w:line="240" w:lineRule="auto"/>
              <w:ind w:left="720" w:hanging="720"/>
              <w:rPr>
                <w:rFonts w:ascii="Times" w:eastAsia="Batang" w:hAnsi="Times" w:cs="Times New Roman"/>
                <w:b/>
                <w:sz w:val="20"/>
                <w:szCs w:val="20"/>
                <w:lang w:val="en-GB" w:eastAsia="zh-CN"/>
              </w:rPr>
            </w:pPr>
            <w:r w:rsidRPr="0088189C">
              <w:rPr>
                <w:rFonts w:ascii="Times" w:eastAsia="Batang" w:hAnsi="Times" w:cs="Times New Roman"/>
                <w:b/>
                <w:sz w:val="20"/>
                <w:szCs w:val="20"/>
                <w:lang w:val="en-GB" w:eastAsia="zh-CN"/>
              </w:rPr>
              <w:t>Observation</w:t>
            </w:r>
          </w:p>
          <w:p w14:paraId="6685395F" w14:textId="77777777" w:rsidR="00AD0CF0" w:rsidRPr="0088189C" w:rsidRDefault="00AD0CF0" w:rsidP="00F04697">
            <w:pPr>
              <w:spacing w:after="0" w:line="240" w:lineRule="auto"/>
              <w:rPr>
                <w:rFonts w:ascii="Times" w:eastAsia="Batang" w:hAnsi="Times" w:cs="Times New Roman"/>
                <w:sz w:val="20"/>
                <w:szCs w:val="20"/>
                <w:lang w:val="en-GB" w:eastAsia="zh-CN"/>
              </w:rPr>
            </w:pPr>
            <w:r w:rsidRPr="0088189C">
              <w:rPr>
                <w:rFonts w:ascii="Times" w:eastAsia="Batang" w:hAnsi="Times" w:cs="Times New Roman"/>
                <w:sz w:val="20"/>
                <w:szCs w:val="20"/>
                <w:lang w:val="en-GB" w:eastAsia="zh-CN"/>
              </w:rPr>
              <w:t>From RAN1 perspective, no issues were identified that would prevent the coexistence of NR and eMTC</w:t>
            </w:r>
          </w:p>
          <w:p w14:paraId="1FF6CCA1" w14:textId="77777777" w:rsidR="00AD0CF0" w:rsidRPr="0088189C" w:rsidRDefault="00AD0CF0" w:rsidP="00F04697">
            <w:pPr>
              <w:spacing w:after="0" w:line="240" w:lineRule="auto"/>
              <w:ind w:left="720" w:hanging="720"/>
              <w:rPr>
                <w:rFonts w:ascii="Times" w:eastAsia="Batang" w:hAnsi="Times" w:cs="Times New Roman"/>
                <w:sz w:val="20"/>
                <w:szCs w:val="20"/>
                <w:lang w:val="en-GB" w:eastAsia="zh-CN"/>
              </w:rPr>
            </w:pPr>
          </w:p>
          <w:p w14:paraId="5A15022C" w14:textId="77777777" w:rsidR="00AD0CF0" w:rsidRPr="0088189C" w:rsidRDefault="00AD0CF0" w:rsidP="00F04697">
            <w:pPr>
              <w:spacing w:after="0" w:line="240" w:lineRule="auto"/>
              <w:ind w:left="720" w:hanging="720"/>
              <w:rPr>
                <w:rFonts w:ascii="Times" w:eastAsia="Batang" w:hAnsi="Times" w:cs="Times New Roman"/>
                <w:b/>
                <w:sz w:val="20"/>
                <w:szCs w:val="20"/>
                <w:lang w:val="en-GB" w:eastAsia="zh-CN"/>
              </w:rPr>
            </w:pPr>
            <w:r w:rsidRPr="0088189C">
              <w:rPr>
                <w:rFonts w:ascii="Times" w:eastAsia="Batang" w:hAnsi="Times" w:cs="Times New Roman"/>
                <w:b/>
                <w:sz w:val="20"/>
                <w:szCs w:val="20"/>
                <w:highlight w:val="green"/>
                <w:lang w:val="en-GB" w:eastAsia="zh-CN"/>
              </w:rPr>
              <w:t>Agreement</w:t>
            </w:r>
          </w:p>
          <w:p w14:paraId="730128F9" w14:textId="77777777" w:rsidR="00AD0CF0" w:rsidRDefault="00AD0CF0" w:rsidP="00F04697">
            <w:pPr>
              <w:spacing w:after="0" w:line="240" w:lineRule="auto"/>
              <w:rPr>
                <w:rFonts w:ascii="Times" w:eastAsia="Batang" w:hAnsi="Times" w:cs="Times New Roman"/>
                <w:sz w:val="20"/>
                <w:szCs w:val="20"/>
                <w:lang w:val="en-GB" w:eastAsia="zh-CN"/>
              </w:rPr>
            </w:pPr>
            <w:r w:rsidRPr="0088189C">
              <w:rPr>
                <w:rFonts w:ascii="Times" w:eastAsia="Batang" w:hAnsi="Times" w:cs="Times New Roman"/>
                <w:sz w:val="20"/>
                <w:szCs w:val="20"/>
                <w:lang w:val="en-GB" w:eastAsia="zh-CN"/>
              </w:rPr>
              <w:t>RAN1 studies additional specification enhancement for improving the performance of coexistence of eMTC with NR.</w:t>
            </w:r>
          </w:p>
          <w:p w14:paraId="0E8DD43E" w14:textId="77777777" w:rsidR="00AD0CF0" w:rsidRPr="000D5E14" w:rsidRDefault="00AD0CF0" w:rsidP="00F04697">
            <w:pPr>
              <w:spacing w:after="0" w:line="240" w:lineRule="auto"/>
              <w:rPr>
                <w:rFonts w:ascii="Times" w:eastAsia="Batang" w:hAnsi="Times" w:cs="Times New Roman"/>
                <w:sz w:val="20"/>
                <w:szCs w:val="20"/>
                <w:lang w:val="en-GB" w:eastAsia="zh-CN"/>
              </w:rPr>
            </w:pPr>
          </w:p>
        </w:tc>
      </w:tr>
    </w:tbl>
    <w:p w14:paraId="05050705" w14:textId="77777777" w:rsidR="00AD0CF0" w:rsidRDefault="00AD0CF0" w:rsidP="00AD0CF0">
      <w:pPr>
        <w:pStyle w:val="BodyText"/>
        <w:rPr>
          <w:rFonts w:ascii="Arial" w:hAnsi="Arial" w:cs="Arial"/>
          <w:sz w:val="20"/>
          <w:szCs w:val="20"/>
        </w:rPr>
      </w:pPr>
    </w:p>
    <w:p w14:paraId="2CEB0317" w14:textId="77777777" w:rsidR="00AD0CF0" w:rsidRPr="007C2B1D" w:rsidRDefault="00AD0CF0" w:rsidP="00AD0CF0">
      <w:pPr>
        <w:pStyle w:val="BodyText"/>
        <w:rPr>
          <w:rFonts w:ascii="Arial" w:hAnsi="Arial" w:cs="Arial"/>
          <w:sz w:val="20"/>
        </w:rPr>
      </w:pPr>
      <w:r>
        <w:rPr>
          <w:rFonts w:ascii="Arial" w:hAnsi="Arial" w:cs="Arial"/>
          <w:sz w:val="20"/>
        </w:rPr>
        <w:t xml:space="preserve">RAN1#94bis </w:t>
      </w:r>
      <w:r w:rsidRPr="007C2B1D">
        <w:rPr>
          <w:rFonts w:ascii="Arial" w:hAnsi="Arial" w:cs="Arial"/>
          <w:sz w:val="20"/>
        </w:rPr>
        <w:t xml:space="preserve">made the following </w:t>
      </w:r>
      <w:r>
        <w:rPr>
          <w:rFonts w:ascii="Arial" w:hAnsi="Arial" w:cs="Arial"/>
          <w:sz w:val="20"/>
        </w:rPr>
        <w:t>note</w:t>
      </w:r>
      <w:r w:rsidRPr="007C2B1D">
        <w:rPr>
          <w:rFonts w:ascii="Arial" w:hAnsi="Arial" w:cs="Arial"/>
          <w:sz w:val="20"/>
        </w:rPr>
        <w:t xml:space="preserve"> and agreement:</w:t>
      </w:r>
    </w:p>
    <w:tbl>
      <w:tblPr>
        <w:tblStyle w:val="TableGrid"/>
        <w:tblW w:w="0" w:type="auto"/>
        <w:tblLook w:val="04A0" w:firstRow="1" w:lastRow="0" w:firstColumn="1" w:lastColumn="0" w:noHBand="0" w:noVBand="1"/>
      </w:tblPr>
      <w:tblGrid>
        <w:gridCol w:w="9629"/>
      </w:tblGrid>
      <w:tr w:rsidR="00AD0CF0" w14:paraId="4424F820" w14:textId="77777777" w:rsidTr="00F04697">
        <w:tc>
          <w:tcPr>
            <w:tcW w:w="9629" w:type="dxa"/>
          </w:tcPr>
          <w:p w14:paraId="4EE24CA4" w14:textId="77777777" w:rsidR="00AD0CF0" w:rsidRPr="000D5E14" w:rsidRDefault="00AD0CF0" w:rsidP="00F04697">
            <w:pPr>
              <w:spacing w:after="0" w:line="240" w:lineRule="auto"/>
              <w:ind w:left="720" w:hanging="720"/>
              <w:rPr>
                <w:rFonts w:ascii="Times" w:eastAsia="Batang" w:hAnsi="Times" w:cs="Times New Roman"/>
                <w:b/>
                <w:sz w:val="20"/>
                <w:szCs w:val="24"/>
                <w:lang w:val="en-GB" w:eastAsia="x-none"/>
              </w:rPr>
            </w:pPr>
            <w:r w:rsidRPr="000D5E14">
              <w:rPr>
                <w:rFonts w:ascii="Times" w:eastAsia="Batang" w:hAnsi="Times" w:cs="Times New Roman"/>
                <w:b/>
                <w:sz w:val="20"/>
                <w:szCs w:val="24"/>
                <w:lang w:val="en-GB" w:eastAsia="x-none"/>
              </w:rPr>
              <w:t>For further study:</w:t>
            </w:r>
          </w:p>
          <w:p w14:paraId="5AA30DC3" w14:textId="77777777" w:rsidR="00AD0CF0" w:rsidRDefault="00AD0CF0" w:rsidP="00F04697">
            <w:pPr>
              <w:spacing w:after="0" w:line="240" w:lineRule="auto"/>
              <w:rPr>
                <w:rFonts w:ascii="Times" w:eastAsia="Batang" w:hAnsi="Times" w:cs="Arial"/>
                <w:sz w:val="20"/>
                <w:szCs w:val="24"/>
              </w:rPr>
            </w:pPr>
            <w:r w:rsidRPr="000D5E14">
              <w:rPr>
                <w:rFonts w:ascii="Times" w:eastAsia="Batang" w:hAnsi="Times" w:cs="Arial"/>
                <w:sz w:val="20"/>
                <w:szCs w:val="24"/>
              </w:rPr>
              <w:t xml:space="preserve">Until the next meeting, invite companies to evaluate the potential performance gains (e.g. in terms of reduced NR resource reservation) from </w:t>
            </w:r>
            <w:r>
              <w:rPr>
                <w:rFonts w:ascii="Times" w:eastAsia="Batang" w:hAnsi="Times" w:cs="Arial"/>
                <w:sz w:val="20"/>
                <w:szCs w:val="24"/>
              </w:rPr>
              <w:t xml:space="preserve">[the following] </w:t>
            </w:r>
            <w:r w:rsidRPr="000D5E14">
              <w:rPr>
                <w:rFonts w:ascii="Times" w:eastAsia="Batang" w:hAnsi="Times" w:cs="Arial"/>
                <w:sz w:val="20"/>
                <w:szCs w:val="24"/>
              </w:rPr>
              <w:t>to help determine whether the gains are significant enough to motivate the impacts.</w:t>
            </w:r>
          </w:p>
          <w:p w14:paraId="3C53D80B" w14:textId="77777777" w:rsidR="00AD0CF0" w:rsidRDefault="00AD0CF0" w:rsidP="00F04697">
            <w:pPr>
              <w:numPr>
                <w:ilvl w:val="0"/>
                <w:numId w:val="29"/>
              </w:numPr>
              <w:spacing w:after="0" w:line="240" w:lineRule="auto"/>
              <w:rPr>
                <w:rFonts w:ascii="Times" w:eastAsia="Batang" w:hAnsi="Times" w:cs="Arial"/>
                <w:sz w:val="20"/>
                <w:szCs w:val="24"/>
              </w:rPr>
            </w:pPr>
            <w:r>
              <w:rPr>
                <w:rFonts w:ascii="Times" w:eastAsia="Batang" w:hAnsi="Times" w:cs="Arial"/>
                <w:sz w:val="20"/>
                <w:szCs w:val="24"/>
              </w:rPr>
              <w:t>P</w:t>
            </w:r>
            <w:r w:rsidRPr="000D5E14">
              <w:rPr>
                <w:rFonts w:ascii="Times" w:eastAsia="Batang" w:hAnsi="Times" w:cs="Arial"/>
                <w:sz w:val="20"/>
                <w:szCs w:val="24"/>
              </w:rPr>
              <w:t>erformance improvements of subcarrier and resource block alignment</w:t>
            </w:r>
          </w:p>
          <w:p w14:paraId="7793EE8A" w14:textId="77777777" w:rsidR="00AD0CF0" w:rsidRDefault="00AD0CF0" w:rsidP="00F04697">
            <w:pPr>
              <w:numPr>
                <w:ilvl w:val="0"/>
                <w:numId w:val="29"/>
              </w:numPr>
              <w:spacing w:after="0" w:line="240" w:lineRule="auto"/>
              <w:rPr>
                <w:rFonts w:ascii="Times" w:eastAsia="Batang" w:hAnsi="Times" w:cs="Arial"/>
                <w:sz w:val="20"/>
                <w:szCs w:val="24"/>
              </w:rPr>
            </w:pPr>
            <w:r>
              <w:rPr>
                <w:rFonts w:ascii="Times" w:eastAsia="Batang" w:hAnsi="Times" w:cs="Arial"/>
                <w:sz w:val="20"/>
                <w:szCs w:val="24"/>
              </w:rPr>
              <w:t>P</w:t>
            </w:r>
            <w:r w:rsidRPr="000D5E14">
              <w:rPr>
                <w:rFonts w:ascii="Times" w:eastAsia="Batang" w:hAnsi="Times" w:cs="Arial"/>
                <w:sz w:val="20"/>
                <w:szCs w:val="24"/>
              </w:rPr>
              <w:t>erformance improvements of resource configuration (e.g. reservation of LTE-MTC resources)</w:t>
            </w:r>
          </w:p>
          <w:p w14:paraId="01332E74" w14:textId="77777777" w:rsidR="00AD0CF0" w:rsidRDefault="00AD0CF0" w:rsidP="00F04697">
            <w:pPr>
              <w:numPr>
                <w:ilvl w:val="0"/>
                <w:numId w:val="29"/>
              </w:numPr>
              <w:spacing w:after="0" w:line="240" w:lineRule="auto"/>
              <w:rPr>
                <w:rFonts w:ascii="Times" w:eastAsia="Batang" w:hAnsi="Times" w:cs="Arial"/>
                <w:sz w:val="20"/>
                <w:szCs w:val="24"/>
              </w:rPr>
            </w:pPr>
            <w:r>
              <w:rPr>
                <w:rFonts w:ascii="Times" w:eastAsia="Batang" w:hAnsi="Times" w:cs="Arial"/>
                <w:sz w:val="20"/>
                <w:szCs w:val="24"/>
              </w:rPr>
              <w:t>P</w:t>
            </w:r>
            <w:r w:rsidRPr="000D5E14">
              <w:rPr>
                <w:rFonts w:ascii="Times" w:eastAsia="Batang" w:hAnsi="Times" w:cs="Arial"/>
                <w:sz w:val="20"/>
                <w:szCs w:val="24"/>
              </w:rPr>
              <w:t>erformance improvements through CRS reduction</w:t>
            </w:r>
          </w:p>
          <w:p w14:paraId="2389D79B" w14:textId="77777777" w:rsidR="00AD0CF0" w:rsidRPr="000D5E14" w:rsidRDefault="00AD0CF0" w:rsidP="00F04697">
            <w:pPr>
              <w:numPr>
                <w:ilvl w:val="1"/>
                <w:numId w:val="29"/>
              </w:numPr>
              <w:spacing w:after="0" w:line="240" w:lineRule="auto"/>
              <w:rPr>
                <w:rFonts w:ascii="Times" w:eastAsia="Batang" w:hAnsi="Times" w:cs="Arial"/>
                <w:sz w:val="20"/>
                <w:szCs w:val="24"/>
              </w:rPr>
            </w:pPr>
            <w:r w:rsidRPr="000D5E14">
              <w:rPr>
                <w:rFonts w:ascii="Times" w:eastAsia="Batang" w:hAnsi="Times" w:cs="Arial"/>
                <w:sz w:val="20"/>
                <w:szCs w:val="24"/>
              </w:rPr>
              <w:t>Also consider backwards compatibility aspects.</w:t>
            </w:r>
          </w:p>
          <w:p w14:paraId="7A212960" w14:textId="77777777" w:rsidR="00AD0CF0" w:rsidRDefault="00AD0CF0" w:rsidP="00F04697">
            <w:pPr>
              <w:numPr>
                <w:ilvl w:val="0"/>
                <w:numId w:val="29"/>
              </w:numPr>
              <w:spacing w:after="0" w:line="240" w:lineRule="auto"/>
              <w:rPr>
                <w:rFonts w:ascii="Times" w:eastAsia="Batang" w:hAnsi="Times" w:cs="Arial"/>
                <w:sz w:val="20"/>
                <w:szCs w:val="24"/>
              </w:rPr>
            </w:pPr>
            <w:r>
              <w:rPr>
                <w:rFonts w:ascii="Times" w:eastAsia="Batang" w:hAnsi="Times" w:cs="Arial"/>
                <w:sz w:val="20"/>
                <w:szCs w:val="24"/>
              </w:rPr>
              <w:t>P</w:t>
            </w:r>
            <w:r w:rsidRPr="000D5E14">
              <w:rPr>
                <w:rFonts w:ascii="Times" w:eastAsia="Batang" w:hAnsi="Times" w:cs="Arial"/>
                <w:sz w:val="20"/>
                <w:szCs w:val="24"/>
              </w:rPr>
              <w:t>erformance improvements of frequency hopping</w:t>
            </w:r>
          </w:p>
          <w:p w14:paraId="653D4BEF" w14:textId="77777777" w:rsidR="00AD0CF0" w:rsidRPr="000D5E14" w:rsidRDefault="00AD0CF0" w:rsidP="00F04697">
            <w:pPr>
              <w:numPr>
                <w:ilvl w:val="1"/>
                <w:numId w:val="29"/>
              </w:numPr>
              <w:spacing w:after="0" w:line="240" w:lineRule="auto"/>
              <w:rPr>
                <w:rFonts w:ascii="Times" w:eastAsia="Batang" w:hAnsi="Times" w:cs="Arial"/>
                <w:sz w:val="20"/>
                <w:szCs w:val="24"/>
              </w:rPr>
            </w:pPr>
            <w:r w:rsidRPr="000D5E14">
              <w:rPr>
                <w:rFonts w:ascii="Times" w:eastAsia="Batang" w:hAnsi="Times" w:cs="Arial"/>
                <w:sz w:val="20"/>
                <w:szCs w:val="24"/>
              </w:rPr>
              <w:t>Also consider backwards compatibility aspects.</w:t>
            </w:r>
          </w:p>
          <w:p w14:paraId="7B970263" w14:textId="77777777" w:rsidR="00AD0CF0" w:rsidRPr="000D5E14" w:rsidRDefault="00AD0CF0" w:rsidP="00F04697">
            <w:pPr>
              <w:spacing w:after="0" w:line="240" w:lineRule="auto"/>
              <w:ind w:left="720" w:hanging="720"/>
              <w:rPr>
                <w:rFonts w:ascii="Times" w:eastAsia="Batang" w:hAnsi="Times" w:cs="Times New Roman"/>
                <w:sz w:val="20"/>
                <w:szCs w:val="24"/>
                <w:lang w:val="en-GB" w:eastAsia="x-none"/>
              </w:rPr>
            </w:pPr>
          </w:p>
          <w:p w14:paraId="6B4385C0" w14:textId="77777777" w:rsidR="00AD0CF0" w:rsidRPr="000D5E14" w:rsidRDefault="00AD0CF0" w:rsidP="00F04697">
            <w:pPr>
              <w:spacing w:after="0" w:line="240" w:lineRule="auto"/>
              <w:ind w:left="720" w:hanging="720"/>
              <w:rPr>
                <w:rFonts w:ascii="Times" w:eastAsia="Batang" w:hAnsi="Times" w:cs="Times New Roman"/>
                <w:b/>
                <w:sz w:val="20"/>
                <w:szCs w:val="24"/>
                <w:highlight w:val="green"/>
                <w:lang w:val="en-GB" w:eastAsia="x-none"/>
              </w:rPr>
            </w:pPr>
            <w:r w:rsidRPr="000D5E14">
              <w:rPr>
                <w:rFonts w:ascii="Times" w:eastAsia="Batang" w:hAnsi="Times" w:cs="Times New Roman"/>
                <w:b/>
                <w:sz w:val="20"/>
                <w:szCs w:val="24"/>
                <w:highlight w:val="green"/>
                <w:lang w:val="en-GB" w:eastAsia="x-none"/>
              </w:rPr>
              <w:t>Agreement</w:t>
            </w:r>
          </w:p>
          <w:p w14:paraId="186F0546" w14:textId="77777777" w:rsidR="00AD0CF0" w:rsidRPr="000D5E14" w:rsidRDefault="00AD0CF0" w:rsidP="00F04697">
            <w:pPr>
              <w:spacing w:after="0" w:line="240" w:lineRule="auto"/>
              <w:rPr>
                <w:rFonts w:ascii="Times" w:eastAsia="Batang" w:hAnsi="Times" w:cs="Arial"/>
                <w:sz w:val="20"/>
                <w:szCs w:val="24"/>
              </w:rPr>
            </w:pPr>
            <w:r w:rsidRPr="000D5E14">
              <w:rPr>
                <w:rFonts w:ascii="Times" w:eastAsia="Batang" w:hAnsi="Times" w:cs="Arial"/>
                <w:sz w:val="20"/>
                <w:szCs w:val="24"/>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7629FEE8" w14:textId="77777777" w:rsidR="00AD0CF0" w:rsidRPr="000D5E14" w:rsidRDefault="00AD0CF0" w:rsidP="00F04697">
            <w:pPr>
              <w:spacing w:after="0" w:line="240" w:lineRule="auto"/>
              <w:rPr>
                <w:rFonts w:ascii="Times" w:eastAsia="Batang" w:hAnsi="Times" w:cs="Arial"/>
                <w:sz w:val="20"/>
                <w:szCs w:val="24"/>
              </w:rPr>
            </w:pPr>
          </w:p>
        </w:tc>
      </w:tr>
    </w:tbl>
    <w:p w14:paraId="594FC88D" w14:textId="77777777" w:rsidR="00AD0CF0" w:rsidRDefault="00AD0CF0" w:rsidP="00AD0CF0">
      <w:pPr>
        <w:pStyle w:val="BodyText"/>
        <w:rPr>
          <w:rFonts w:ascii="Arial" w:hAnsi="Arial" w:cs="Arial"/>
          <w:sz w:val="20"/>
          <w:szCs w:val="20"/>
        </w:rPr>
      </w:pPr>
    </w:p>
    <w:p w14:paraId="64CDBCC3" w14:textId="77777777" w:rsidR="00AD0CF0" w:rsidRPr="007C2B1D" w:rsidRDefault="00AD0CF0" w:rsidP="00AD0CF0">
      <w:pPr>
        <w:pStyle w:val="BodyText"/>
        <w:rPr>
          <w:rFonts w:ascii="Arial" w:hAnsi="Arial" w:cs="Arial"/>
          <w:sz w:val="20"/>
        </w:rPr>
      </w:pPr>
      <w:r>
        <w:rPr>
          <w:rFonts w:ascii="Arial" w:hAnsi="Arial" w:cs="Arial"/>
          <w:sz w:val="20"/>
        </w:rPr>
        <w:t xml:space="preserve">RAN1#95 </w:t>
      </w:r>
      <w:r w:rsidRPr="007C2B1D">
        <w:rPr>
          <w:rFonts w:ascii="Arial" w:hAnsi="Arial" w:cs="Arial"/>
          <w:sz w:val="20"/>
        </w:rPr>
        <w:t>made the following agreement</w:t>
      </w:r>
      <w:r>
        <w:rPr>
          <w:rFonts w:ascii="Arial" w:hAnsi="Arial" w:cs="Arial"/>
          <w:sz w:val="20"/>
        </w:rPr>
        <w:t>s</w:t>
      </w:r>
      <w:r w:rsidRPr="007C2B1D">
        <w:rPr>
          <w:rFonts w:ascii="Arial" w:hAnsi="Arial" w:cs="Arial"/>
          <w:sz w:val="20"/>
        </w:rPr>
        <w:t>:</w:t>
      </w:r>
    </w:p>
    <w:tbl>
      <w:tblPr>
        <w:tblStyle w:val="TableGrid"/>
        <w:tblW w:w="0" w:type="auto"/>
        <w:tblLook w:val="04A0" w:firstRow="1" w:lastRow="0" w:firstColumn="1" w:lastColumn="0" w:noHBand="0" w:noVBand="1"/>
      </w:tblPr>
      <w:tblGrid>
        <w:gridCol w:w="9629"/>
      </w:tblGrid>
      <w:tr w:rsidR="00AD0CF0" w14:paraId="2AD2E08C" w14:textId="77777777" w:rsidTr="00F04697">
        <w:tc>
          <w:tcPr>
            <w:tcW w:w="9629" w:type="dxa"/>
          </w:tcPr>
          <w:p w14:paraId="43CF6220" w14:textId="77777777" w:rsidR="00AD0CF0" w:rsidRPr="006F6BF6" w:rsidRDefault="00AD0CF0" w:rsidP="00F04697">
            <w:pPr>
              <w:spacing w:after="0" w:line="240" w:lineRule="auto"/>
              <w:ind w:left="720" w:hanging="720"/>
              <w:rPr>
                <w:rFonts w:ascii="Times New Roman" w:hAnsi="Times New Roman"/>
                <w:b/>
                <w:sz w:val="20"/>
                <w:szCs w:val="20"/>
                <w:highlight w:val="green"/>
              </w:rPr>
            </w:pPr>
            <w:r w:rsidRPr="006F6BF6">
              <w:rPr>
                <w:rFonts w:ascii="Times New Roman" w:hAnsi="Times New Roman"/>
                <w:b/>
                <w:sz w:val="20"/>
                <w:szCs w:val="20"/>
                <w:highlight w:val="green"/>
              </w:rPr>
              <w:t>Agreement</w:t>
            </w:r>
          </w:p>
          <w:p w14:paraId="05F444F0" w14:textId="77777777" w:rsidR="00AD0CF0" w:rsidRPr="006F6BF6" w:rsidRDefault="00AD0CF0" w:rsidP="00F04697">
            <w:pPr>
              <w:numPr>
                <w:ilvl w:val="0"/>
                <w:numId w:val="29"/>
              </w:numPr>
              <w:spacing w:after="0" w:line="240" w:lineRule="auto"/>
              <w:rPr>
                <w:rFonts w:ascii="Times New Roman" w:hAnsi="Times New Roman"/>
                <w:sz w:val="20"/>
                <w:szCs w:val="20"/>
              </w:rPr>
            </w:pPr>
            <w:r w:rsidRPr="006F6BF6">
              <w:rPr>
                <w:rFonts w:ascii="Times New Roman" w:hAnsi="Times New Roman"/>
                <w:sz w:val="20"/>
                <w:szCs w:val="20"/>
              </w:rPr>
              <w:lastRenderedPageBreak/>
              <w:t>RAN1 continues to study the following techniques for performance improvements of resource block alignment until the next meeting:</w:t>
            </w:r>
          </w:p>
          <w:p w14:paraId="07056077"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Puncturing of resource elements at the outlying subcarrier</w:t>
            </w:r>
          </w:p>
          <w:p w14:paraId="74526E53"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Rate-matching around the outlying subcarrier</w:t>
            </w:r>
          </w:p>
          <w:p w14:paraId="195F4FBB"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Exploitation of a portion of the NR guard band (this would also require RAN4 study)</w:t>
            </w:r>
          </w:p>
          <w:p w14:paraId="788269DC" w14:textId="77777777" w:rsidR="00AD0CF0" w:rsidRDefault="00AD0CF0" w:rsidP="00F04697">
            <w:pPr>
              <w:numPr>
                <w:ilvl w:val="0"/>
                <w:numId w:val="29"/>
              </w:numPr>
              <w:spacing w:after="0" w:line="240" w:lineRule="auto"/>
              <w:rPr>
                <w:rFonts w:ascii="Times New Roman" w:hAnsi="Times New Roman"/>
                <w:sz w:val="20"/>
                <w:szCs w:val="20"/>
              </w:rPr>
            </w:pPr>
            <w:r w:rsidRPr="006F6BF6">
              <w:rPr>
                <w:rFonts w:ascii="Times New Roman" w:hAnsi="Times New Roman"/>
                <w:sz w:val="20"/>
                <w:szCs w:val="20"/>
              </w:rPr>
              <w:t>RAN1 continues to consider all combinations of LTE-MTC system bandwidths and NR system bandwidths when discussing potential co-existence performance improvements.</w:t>
            </w:r>
          </w:p>
          <w:p w14:paraId="3E240E37" w14:textId="77777777" w:rsidR="00AD0CF0" w:rsidRDefault="00AD0CF0" w:rsidP="00F04697">
            <w:pPr>
              <w:spacing w:after="0" w:line="240" w:lineRule="auto"/>
              <w:rPr>
                <w:rFonts w:ascii="Times New Roman" w:hAnsi="Times New Roman"/>
                <w:sz w:val="20"/>
                <w:szCs w:val="20"/>
              </w:rPr>
            </w:pPr>
          </w:p>
          <w:p w14:paraId="08422009" w14:textId="77777777" w:rsidR="00AD0CF0" w:rsidRPr="006F6BF6" w:rsidRDefault="00AD0CF0" w:rsidP="00F04697">
            <w:pPr>
              <w:spacing w:after="0" w:line="240" w:lineRule="auto"/>
              <w:ind w:left="720" w:hanging="720"/>
              <w:rPr>
                <w:rFonts w:ascii="Times New Roman" w:hAnsi="Times New Roman"/>
                <w:b/>
                <w:sz w:val="20"/>
                <w:szCs w:val="20"/>
                <w:highlight w:val="green"/>
                <w:lang w:eastAsia="x-none"/>
              </w:rPr>
            </w:pPr>
            <w:r w:rsidRPr="006F6BF6">
              <w:rPr>
                <w:rFonts w:ascii="Times New Roman" w:hAnsi="Times New Roman"/>
                <w:b/>
                <w:sz w:val="20"/>
                <w:szCs w:val="20"/>
                <w:highlight w:val="green"/>
                <w:lang w:eastAsia="x-none"/>
              </w:rPr>
              <w:t>Agreement</w:t>
            </w:r>
          </w:p>
          <w:p w14:paraId="6BD3BAC1" w14:textId="77777777" w:rsidR="00AD0CF0" w:rsidRPr="006F6BF6" w:rsidRDefault="00AD0CF0" w:rsidP="00F04697">
            <w:pPr>
              <w:numPr>
                <w:ilvl w:val="0"/>
                <w:numId w:val="29"/>
              </w:numPr>
              <w:spacing w:after="0" w:line="240" w:lineRule="auto"/>
              <w:rPr>
                <w:rFonts w:ascii="Times New Roman" w:hAnsi="Times New Roman"/>
                <w:sz w:val="20"/>
                <w:szCs w:val="20"/>
              </w:rPr>
            </w:pPr>
            <w:bookmarkStart w:id="20" w:name="_Hlk1663653"/>
            <w:r w:rsidRPr="006F6BF6">
              <w:rPr>
                <w:rFonts w:ascii="Times New Roman" w:hAnsi="Times New Roman"/>
                <w:sz w:val="20"/>
                <w:szCs w:val="20"/>
              </w:rPr>
              <w:t>RAN1 continues to study the following techniques for performance improvements of LTE-MTC resource allocation until the next meeting:</w:t>
            </w:r>
          </w:p>
          <w:p w14:paraId="34B074E0"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Resource reservation at symbol level/slot level/subframe level/subcarrier level</w:t>
            </w:r>
          </w:p>
          <w:p w14:paraId="70808B77"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Whether the resource reservation is dynamic or semi-static (if supported)</w:t>
            </w:r>
          </w:p>
          <w:p w14:paraId="0E73491F"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Whether and how to support LTE-MTC transmission in a portion of the subframe</w:t>
            </w:r>
          </w:p>
          <w:p w14:paraId="77C8EB85"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Impact of resource reservation to legacy UEs</w:t>
            </w:r>
          </w:p>
          <w:p w14:paraId="72005589" w14:textId="77777777" w:rsidR="00AD0CF0"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Whether LTE-MTC transmission is postponed or dropped in reserved resources</w:t>
            </w:r>
          </w:p>
          <w:bookmarkEnd w:id="20"/>
          <w:p w14:paraId="11DE4B4E" w14:textId="77777777" w:rsidR="00AD0CF0" w:rsidRDefault="00AD0CF0" w:rsidP="00F04697">
            <w:pPr>
              <w:spacing w:after="0" w:line="240" w:lineRule="auto"/>
              <w:rPr>
                <w:rFonts w:ascii="Times New Roman" w:hAnsi="Times New Roman"/>
                <w:sz w:val="20"/>
                <w:szCs w:val="20"/>
              </w:rPr>
            </w:pPr>
          </w:p>
          <w:p w14:paraId="17FB9D6B" w14:textId="77777777" w:rsidR="00AD0CF0" w:rsidRPr="006F6BF6" w:rsidRDefault="00AD0CF0" w:rsidP="00F04697">
            <w:pPr>
              <w:rPr>
                <w:rFonts w:ascii="Times New Roman" w:hAnsi="Times New Roman"/>
                <w:b/>
                <w:sz w:val="20"/>
                <w:szCs w:val="20"/>
                <w:highlight w:val="green"/>
              </w:rPr>
            </w:pPr>
            <w:r w:rsidRPr="006F6BF6">
              <w:rPr>
                <w:rFonts w:ascii="Times New Roman" w:hAnsi="Times New Roman"/>
                <w:b/>
                <w:sz w:val="20"/>
                <w:szCs w:val="20"/>
                <w:highlight w:val="green"/>
              </w:rPr>
              <w:t>Agreement</w:t>
            </w:r>
            <w:r>
              <w:rPr>
                <w:rFonts w:ascii="Times New Roman" w:hAnsi="Times New Roman"/>
                <w:b/>
                <w:sz w:val="20"/>
                <w:szCs w:val="20"/>
              </w:rPr>
              <w:br/>
            </w:r>
            <w:r w:rsidRPr="006F6BF6">
              <w:rPr>
                <w:rFonts w:ascii="Times New Roman" w:hAnsi="Times New Roman"/>
                <w:sz w:val="20"/>
                <w:szCs w:val="20"/>
              </w:rPr>
              <w:t>RAN1 studies LTE-MTC transmission outside the legacy LTE system bandwidth (for reduced NR reserved resource cost for CRS, SIB1-BR, paging, etc.) until the next meeting</w:t>
            </w:r>
          </w:p>
        </w:tc>
      </w:tr>
    </w:tbl>
    <w:p w14:paraId="76FD2A0E" w14:textId="77777777" w:rsidR="00AD0CF0" w:rsidRDefault="00AD0CF0" w:rsidP="00AD0CF0">
      <w:pPr>
        <w:pStyle w:val="BodyText"/>
        <w:rPr>
          <w:rFonts w:ascii="Arial" w:hAnsi="Arial" w:cs="Arial"/>
          <w:sz w:val="20"/>
          <w:szCs w:val="20"/>
        </w:rPr>
      </w:pPr>
    </w:p>
    <w:p w14:paraId="69435B10" w14:textId="77777777" w:rsidR="00AD0CF0" w:rsidRPr="007C2B1D" w:rsidRDefault="00AD0CF0" w:rsidP="00AD0CF0">
      <w:pPr>
        <w:pStyle w:val="BodyText"/>
        <w:rPr>
          <w:rFonts w:ascii="Arial" w:hAnsi="Arial" w:cs="Arial"/>
          <w:sz w:val="20"/>
        </w:rPr>
      </w:pPr>
      <w:r>
        <w:rPr>
          <w:rFonts w:ascii="Arial" w:hAnsi="Arial" w:cs="Arial"/>
          <w:sz w:val="20"/>
        </w:rPr>
        <w:t xml:space="preserve">RAN1#96 </w:t>
      </w:r>
      <w:r w:rsidRPr="007C2B1D">
        <w:rPr>
          <w:rFonts w:ascii="Arial" w:hAnsi="Arial" w:cs="Arial"/>
          <w:sz w:val="20"/>
        </w:rPr>
        <w:t>made the following agreement</w:t>
      </w:r>
      <w:r>
        <w:rPr>
          <w:rFonts w:ascii="Arial" w:hAnsi="Arial" w:cs="Arial"/>
          <w:sz w:val="20"/>
        </w:rPr>
        <w:t>s</w:t>
      </w:r>
      <w:r w:rsidRPr="007C2B1D">
        <w:rPr>
          <w:rFonts w:ascii="Arial" w:hAnsi="Arial" w:cs="Arial"/>
          <w:sz w:val="20"/>
        </w:rPr>
        <w:t>:</w:t>
      </w:r>
    </w:p>
    <w:tbl>
      <w:tblPr>
        <w:tblStyle w:val="TableGrid1"/>
        <w:tblW w:w="0" w:type="auto"/>
        <w:tblInd w:w="-5" w:type="dxa"/>
        <w:tblLook w:val="04A0" w:firstRow="1" w:lastRow="0" w:firstColumn="1" w:lastColumn="0" w:noHBand="0" w:noVBand="1"/>
      </w:tblPr>
      <w:tblGrid>
        <w:gridCol w:w="9634"/>
      </w:tblGrid>
      <w:tr w:rsidR="00AD0CF0" w:rsidRPr="00041DF6" w14:paraId="38AA18F9" w14:textId="77777777" w:rsidTr="00F04697">
        <w:tc>
          <w:tcPr>
            <w:tcW w:w="9634" w:type="dxa"/>
          </w:tcPr>
          <w:p w14:paraId="580957F1" w14:textId="77777777" w:rsidR="00AD0CF0" w:rsidRPr="00041DF6" w:rsidRDefault="00AD0CF0" w:rsidP="00F04697">
            <w:pPr>
              <w:spacing w:after="0" w:line="240" w:lineRule="auto"/>
              <w:ind w:left="720" w:hanging="720"/>
              <w:rPr>
                <w:rFonts w:ascii="Times" w:eastAsia="Batang" w:hAnsi="Times" w:cs="Times New Roman"/>
                <w:b/>
                <w:sz w:val="20"/>
                <w:szCs w:val="24"/>
                <w:lang w:val="en-GB" w:eastAsia="x-none"/>
              </w:rPr>
            </w:pPr>
            <w:r w:rsidRPr="00041DF6">
              <w:rPr>
                <w:rFonts w:ascii="Times" w:eastAsia="Batang" w:hAnsi="Times" w:cs="Times New Roman"/>
                <w:b/>
                <w:sz w:val="20"/>
                <w:szCs w:val="24"/>
                <w:lang w:val="en-GB" w:eastAsia="x-none"/>
              </w:rPr>
              <w:t>For further study in future meetings:</w:t>
            </w:r>
          </w:p>
          <w:p w14:paraId="797F9E4D" w14:textId="77777777" w:rsidR="00AD0CF0" w:rsidRPr="00041DF6" w:rsidRDefault="00AD0CF0" w:rsidP="00F04697">
            <w:pPr>
              <w:numPr>
                <w:ilvl w:val="0"/>
                <w:numId w:val="29"/>
              </w:numPr>
              <w:spacing w:after="0" w:line="240" w:lineRule="auto"/>
              <w:contextualSpacing/>
              <w:rPr>
                <w:rFonts w:ascii="Times New Roman" w:eastAsia="Batang" w:hAnsi="Times New Roman" w:cs="Times New Roman"/>
                <w:sz w:val="20"/>
                <w:szCs w:val="24"/>
                <w:lang w:val="en-GB" w:eastAsia="x-none"/>
              </w:rPr>
            </w:pPr>
            <w:r w:rsidRPr="00041DF6">
              <w:rPr>
                <w:rFonts w:ascii="Times New Roman" w:eastAsia="Batang" w:hAnsi="Times New Roman" w:cs="Times New Roman"/>
                <w:sz w:val="20"/>
                <w:szCs w:val="24"/>
                <w:lang w:val="en-GB" w:eastAsia="x-none"/>
              </w:rPr>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2FE8E370" w14:textId="77777777" w:rsidR="00AD0CF0" w:rsidRPr="00041DF6" w:rsidRDefault="00AD0CF0" w:rsidP="00F04697">
            <w:pPr>
              <w:numPr>
                <w:ilvl w:val="0"/>
                <w:numId w:val="29"/>
              </w:numPr>
              <w:spacing w:after="0" w:line="240" w:lineRule="auto"/>
              <w:rPr>
                <w:rFonts w:ascii="Times New Roman" w:eastAsia="Batang" w:hAnsi="Times New Roman" w:cs="Times New Roman"/>
                <w:sz w:val="20"/>
                <w:szCs w:val="24"/>
                <w:lang w:val="en-GB"/>
              </w:rPr>
            </w:pPr>
            <w:r w:rsidRPr="00041DF6">
              <w:rPr>
                <w:rFonts w:ascii="Times New Roman" w:eastAsia="Batang" w:hAnsi="Times New Roman" w:cs="Times New Roman"/>
                <w:sz w:val="20"/>
                <w:szCs w:val="24"/>
                <w:lang w:val="en-GB"/>
              </w:rPr>
              <w:t>RAN1 continues to study e.g. the following aspects of puncturing and/or rate-matching and/or exploitation of guardband (this would also require RAN4 study) as potential ways to take outlying LTE-MTC subcarriers into account for performance improvement of resource block alignment between LTE-MTC and NR:</w:t>
            </w:r>
          </w:p>
          <w:p w14:paraId="146A1615" w14:textId="77777777" w:rsidR="00AD0CF0" w:rsidRPr="00041DF6" w:rsidRDefault="00AD0CF0" w:rsidP="00F04697">
            <w:pPr>
              <w:numPr>
                <w:ilvl w:val="1"/>
                <w:numId w:val="29"/>
              </w:numPr>
              <w:spacing w:after="0" w:line="240" w:lineRule="auto"/>
              <w:rPr>
                <w:rFonts w:ascii="Times New Roman" w:eastAsia="Batang" w:hAnsi="Times New Roman" w:cs="Times New Roman"/>
                <w:sz w:val="20"/>
                <w:szCs w:val="24"/>
                <w:lang w:val="en-GB"/>
              </w:rPr>
            </w:pPr>
            <w:r w:rsidRPr="00041DF6">
              <w:rPr>
                <w:rFonts w:ascii="Times New Roman" w:eastAsia="Batang" w:hAnsi="Times New Roman" w:cs="Times New Roman"/>
                <w:sz w:val="20"/>
                <w:szCs w:val="24"/>
                <w:lang w:val="en-GB"/>
              </w:rPr>
              <w:t>How to minimize the number of outlying LTE-MTC subcarriers</w:t>
            </w:r>
          </w:p>
          <w:p w14:paraId="44DDE7AA" w14:textId="77777777" w:rsidR="00AD0CF0" w:rsidRPr="00041DF6" w:rsidRDefault="00AD0CF0" w:rsidP="00F04697">
            <w:pPr>
              <w:numPr>
                <w:ilvl w:val="1"/>
                <w:numId w:val="29"/>
              </w:numPr>
              <w:spacing w:after="0" w:line="240" w:lineRule="auto"/>
              <w:rPr>
                <w:rFonts w:ascii="Times New Roman" w:eastAsia="Batang" w:hAnsi="Times New Roman" w:cs="Times New Roman"/>
                <w:sz w:val="20"/>
                <w:szCs w:val="24"/>
                <w:lang w:val="en-GB"/>
              </w:rPr>
            </w:pPr>
            <w:r w:rsidRPr="00041DF6">
              <w:rPr>
                <w:rFonts w:ascii="Times New Roman" w:eastAsia="Batang" w:hAnsi="Times New Roman" w:cs="Times New Roman"/>
                <w:sz w:val="20"/>
                <w:szCs w:val="24"/>
                <w:lang w:val="en-GB"/>
              </w:rPr>
              <w:t xml:space="preserve">To what extent the LTE-MTC UE needs to be aware subcarriers not used for transmission </w:t>
            </w:r>
          </w:p>
          <w:p w14:paraId="100D3BE7" w14:textId="77777777" w:rsidR="00AD0CF0" w:rsidRPr="00041DF6" w:rsidRDefault="00AD0CF0" w:rsidP="00F04697">
            <w:pPr>
              <w:numPr>
                <w:ilvl w:val="1"/>
                <w:numId w:val="29"/>
              </w:numPr>
              <w:spacing w:after="0" w:line="240" w:lineRule="auto"/>
              <w:rPr>
                <w:rFonts w:ascii="Times New Roman" w:eastAsia="Batang" w:hAnsi="Times New Roman" w:cs="Times New Roman"/>
                <w:sz w:val="20"/>
                <w:szCs w:val="24"/>
                <w:lang w:val="en-GB"/>
              </w:rPr>
            </w:pPr>
            <w:r w:rsidRPr="00041DF6">
              <w:rPr>
                <w:rFonts w:ascii="Times New Roman" w:eastAsia="Batang" w:hAnsi="Times New Roman" w:cs="Times New Roman"/>
                <w:sz w:val="20"/>
                <w:szCs w:val="24"/>
                <w:lang w:val="en-GB"/>
              </w:rPr>
              <w:t>Performance impacts of the LTE-MTC subcarrier puncturing</w:t>
            </w:r>
          </w:p>
          <w:p w14:paraId="66BFC9E8" w14:textId="77777777" w:rsidR="00AD0CF0" w:rsidRPr="00041DF6" w:rsidRDefault="00AD0CF0" w:rsidP="00F04697">
            <w:pPr>
              <w:numPr>
                <w:ilvl w:val="1"/>
                <w:numId w:val="29"/>
              </w:numPr>
              <w:spacing w:after="0" w:line="240" w:lineRule="auto"/>
              <w:rPr>
                <w:rFonts w:ascii="Times New Roman" w:eastAsia="Batang" w:hAnsi="Times New Roman" w:cs="Times New Roman"/>
                <w:sz w:val="20"/>
                <w:szCs w:val="24"/>
                <w:lang w:val="en-GB"/>
              </w:rPr>
            </w:pPr>
            <w:r w:rsidRPr="00041DF6">
              <w:rPr>
                <w:rFonts w:ascii="Times New Roman" w:eastAsia="Batang" w:hAnsi="Times New Roman" w:cs="Times New Roman"/>
                <w:sz w:val="20"/>
                <w:szCs w:val="24"/>
                <w:lang w:val="en-GB"/>
              </w:rPr>
              <w:t>Some of the methods may only apply for downlink</w:t>
            </w:r>
          </w:p>
          <w:p w14:paraId="66B1C3F0" w14:textId="77777777" w:rsidR="00AD0CF0" w:rsidRPr="00041DF6" w:rsidRDefault="00AD0CF0" w:rsidP="00F04697">
            <w:pPr>
              <w:numPr>
                <w:ilvl w:val="0"/>
                <w:numId w:val="29"/>
              </w:numPr>
              <w:spacing w:after="0" w:line="240" w:lineRule="auto"/>
              <w:rPr>
                <w:rFonts w:ascii="Times New Roman" w:eastAsia="Batang" w:hAnsi="Times New Roman" w:cs="Times New Roman"/>
                <w:sz w:val="20"/>
                <w:szCs w:val="24"/>
                <w:lang w:val="en-GB"/>
              </w:rPr>
            </w:pPr>
            <w:r w:rsidRPr="00041DF6">
              <w:rPr>
                <w:rFonts w:ascii="Times New Roman" w:eastAsia="Batang" w:hAnsi="Times New Roman" w:cs="Times New Roman"/>
                <w:sz w:val="20"/>
                <w:szCs w:val="24"/>
                <w:lang w:val="en-GB"/>
              </w:rPr>
              <w:t>RAN1 studies whether to support configurable RB shift for LTE-MTC in some cases (e.g. stand-alone/in-band, FDD/TDD, DL/UL).</w:t>
            </w:r>
          </w:p>
          <w:p w14:paraId="4CB6B54A" w14:textId="77777777" w:rsidR="00AD0CF0" w:rsidRPr="00041DF6" w:rsidRDefault="00AD0CF0" w:rsidP="00F04697">
            <w:pPr>
              <w:spacing w:after="0" w:line="240" w:lineRule="auto"/>
              <w:ind w:left="720" w:hanging="720"/>
              <w:rPr>
                <w:rFonts w:ascii="Times" w:eastAsia="Batang" w:hAnsi="Times" w:cs="Times New Roman"/>
                <w:sz w:val="16"/>
                <w:szCs w:val="24"/>
                <w:lang w:val="en-GB" w:eastAsia="x-none"/>
              </w:rPr>
            </w:pPr>
          </w:p>
          <w:p w14:paraId="1855AF54" w14:textId="77777777" w:rsidR="00AD0CF0" w:rsidRPr="00041DF6" w:rsidRDefault="00AD0CF0" w:rsidP="00F04697">
            <w:pPr>
              <w:spacing w:after="0" w:line="240" w:lineRule="auto"/>
              <w:ind w:left="720" w:hanging="720"/>
              <w:rPr>
                <w:rFonts w:ascii="Times" w:eastAsia="Batang" w:hAnsi="Times" w:cs="Times New Roman"/>
                <w:b/>
                <w:sz w:val="20"/>
                <w:szCs w:val="24"/>
                <w:highlight w:val="green"/>
                <w:lang w:val="en-GB" w:eastAsia="x-none"/>
              </w:rPr>
            </w:pPr>
            <w:r w:rsidRPr="00041DF6">
              <w:rPr>
                <w:rFonts w:ascii="Times" w:eastAsia="Batang" w:hAnsi="Times" w:cs="Times New Roman"/>
                <w:b/>
                <w:sz w:val="20"/>
                <w:szCs w:val="24"/>
                <w:highlight w:val="green"/>
                <w:lang w:val="en-GB" w:eastAsia="x-none"/>
              </w:rPr>
              <w:t xml:space="preserve">Agreement </w:t>
            </w:r>
          </w:p>
          <w:p w14:paraId="2A33DC05" w14:textId="77777777" w:rsidR="00AD0CF0" w:rsidRPr="00041DF6" w:rsidRDefault="00AD0CF0" w:rsidP="00F04697">
            <w:pPr>
              <w:spacing w:after="0" w:line="240" w:lineRule="auto"/>
              <w:rPr>
                <w:rFonts w:ascii="Times" w:eastAsia="Batang" w:hAnsi="Times" w:cs="Times New Roman"/>
                <w:sz w:val="20"/>
                <w:szCs w:val="24"/>
                <w:lang w:val="en-GB" w:eastAsia="x-none"/>
              </w:rPr>
            </w:pPr>
            <w:r w:rsidRPr="00041DF6">
              <w:rPr>
                <w:rFonts w:ascii="Times" w:eastAsia="Batang" w:hAnsi="Times" w:cs="Times New Roman"/>
                <w:sz w:val="20"/>
                <w:szCs w:val="24"/>
                <w:lang w:val="en-GB" w:eastAsia="x-none"/>
              </w:rPr>
              <w:t xml:space="preserve">RAN1 </w:t>
            </w:r>
            <w:r w:rsidRPr="00041DF6">
              <w:rPr>
                <w:rFonts w:ascii="Times New Roman" w:eastAsia="Batang" w:hAnsi="Times New Roman" w:cs="Times New Roman"/>
                <w:sz w:val="20"/>
                <w:szCs w:val="24"/>
                <w:lang w:val="en-GB"/>
              </w:rPr>
              <w:t>considers</w:t>
            </w:r>
            <w:r w:rsidRPr="00041DF6">
              <w:rPr>
                <w:rFonts w:ascii="Times" w:eastAsia="Batang" w:hAnsi="Times" w:cs="Times New Roman"/>
                <w:sz w:val="20"/>
                <w:szCs w:val="24"/>
                <w:lang w:val="en-GB" w:eastAsia="x-none"/>
              </w:rPr>
              <w:t xml:space="preserve"> coexistence cases for different NR subcarrier spacing (SCS), with higher priority given first to 15 kHz SCS and then to 30 kHz SCS.</w:t>
            </w:r>
          </w:p>
          <w:p w14:paraId="228C6FA1" w14:textId="77777777" w:rsidR="00AD0CF0" w:rsidRPr="00041DF6" w:rsidRDefault="00AD0CF0" w:rsidP="00F04697">
            <w:pPr>
              <w:spacing w:after="0" w:line="240" w:lineRule="auto"/>
              <w:ind w:left="720" w:hanging="720"/>
              <w:rPr>
                <w:rFonts w:ascii="Times" w:eastAsia="Batang" w:hAnsi="Times" w:cs="Times New Roman"/>
                <w:sz w:val="20"/>
                <w:szCs w:val="24"/>
                <w:lang w:val="en-GB" w:eastAsia="x-none"/>
              </w:rPr>
            </w:pPr>
          </w:p>
          <w:p w14:paraId="00A335BB" w14:textId="77777777" w:rsidR="00AD0CF0" w:rsidRPr="00041DF6" w:rsidRDefault="00AD0CF0" w:rsidP="00F04697">
            <w:pPr>
              <w:spacing w:after="0" w:line="240" w:lineRule="auto"/>
              <w:ind w:left="720" w:hanging="720"/>
              <w:rPr>
                <w:rFonts w:ascii="Times New Roman" w:eastAsia="Batang" w:hAnsi="Times New Roman" w:cs="Times New Roman"/>
                <w:b/>
                <w:sz w:val="20"/>
                <w:szCs w:val="20"/>
                <w:lang w:val="en-GB" w:eastAsia="x-none"/>
              </w:rPr>
            </w:pPr>
            <w:r w:rsidRPr="00041DF6">
              <w:rPr>
                <w:rFonts w:ascii="Times New Roman" w:eastAsia="Batang" w:hAnsi="Times New Roman" w:cs="Times New Roman"/>
                <w:b/>
                <w:sz w:val="20"/>
                <w:szCs w:val="20"/>
                <w:lang w:val="en-GB" w:eastAsia="x-none"/>
              </w:rPr>
              <w:t>For further study in future meetings:</w:t>
            </w:r>
          </w:p>
          <w:p w14:paraId="1050E9EE" w14:textId="77777777" w:rsidR="00AD0CF0" w:rsidRPr="00041DF6" w:rsidRDefault="00AD0CF0" w:rsidP="00F04697">
            <w:pPr>
              <w:numPr>
                <w:ilvl w:val="0"/>
                <w:numId w:val="29"/>
              </w:numPr>
              <w:spacing w:after="0" w:line="240" w:lineRule="auto"/>
              <w:rPr>
                <w:rFonts w:ascii="Times New Roman" w:eastAsia="Batang" w:hAnsi="Times New Roman" w:cs="Times New Roman"/>
                <w:sz w:val="20"/>
                <w:szCs w:val="20"/>
                <w:lang w:val="en-GB"/>
              </w:rPr>
            </w:pPr>
            <w:r w:rsidRPr="00041DF6">
              <w:rPr>
                <w:rFonts w:ascii="Times New Roman" w:eastAsia="Batang" w:hAnsi="Times New Roman" w:cs="Times New Roman"/>
                <w:sz w:val="20"/>
                <w:szCs w:val="20"/>
                <w:lang w:val="en-GB"/>
              </w:rPr>
              <w:t>RAN1 continues to study semi-static LTE-MTC resource reservation for improved coexistence with NR SSB, NR CORESET, NR CSI-RS, and NR TRS.</w:t>
            </w:r>
          </w:p>
          <w:p w14:paraId="0B2AFC46" w14:textId="77777777" w:rsidR="00AD0CF0" w:rsidRPr="00041DF6" w:rsidRDefault="00AD0CF0" w:rsidP="00F04697">
            <w:pPr>
              <w:numPr>
                <w:ilvl w:val="0"/>
                <w:numId w:val="29"/>
              </w:numPr>
              <w:spacing w:after="0" w:line="240" w:lineRule="auto"/>
              <w:rPr>
                <w:rFonts w:ascii="Times New Roman" w:eastAsia="Batang" w:hAnsi="Times New Roman" w:cs="Times New Roman"/>
                <w:sz w:val="20"/>
                <w:szCs w:val="20"/>
                <w:lang w:val="en-GB"/>
              </w:rPr>
            </w:pPr>
            <w:r w:rsidRPr="00041DF6">
              <w:rPr>
                <w:rFonts w:ascii="Times New Roman" w:eastAsia="Batang" w:hAnsi="Times New Roman" w:cs="Times New Roman"/>
                <w:sz w:val="20"/>
                <w:szCs w:val="20"/>
                <w:lang w:val="en-GB"/>
              </w:rPr>
              <w:t>RAN1 continues to study both semi-static and dynamic LTE-MTC resource reservation for improved coexistence with other NR transmissions than NR SSB, NR CORESET, NR CSI-RS, and NR TRS.</w:t>
            </w:r>
          </w:p>
          <w:p w14:paraId="0B1CB9E0" w14:textId="77777777" w:rsidR="00AD0CF0" w:rsidRPr="00041DF6" w:rsidRDefault="00AD0CF0" w:rsidP="00F04697">
            <w:pPr>
              <w:numPr>
                <w:ilvl w:val="0"/>
                <w:numId w:val="29"/>
              </w:numPr>
              <w:spacing w:after="0" w:line="240" w:lineRule="auto"/>
              <w:rPr>
                <w:rFonts w:ascii="Times New Roman" w:eastAsia="Batang" w:hAnsi="Times New Roman" w:cs="Times New Roman"/>
                <w:sz w:val="20"/>
                <w:szCs w:val="20"/>
                <w:lang w:val="en-GB"/>
              </w:rPr>
            </w:pPr>
            <w:r w:rsidRPr="00041DF6">
              <w:rPr>
                <w:rFonts w:ascii="Times New Roman" w:eastAsia="Batang" w:hAnsi="Times New Roman" w:cs="Times New Roman"/>
                <w:sz w:val="20"/>
                <w:szCs w:val="20"/>
                <w:lang w:val="en-GB"/>
              </w:rPr>
              <w:t>RAN1 continues to study how to handle potential collision between LTE-MTC transmissions and NR URLLC related transmissions.</w:t>
            </w:r>
          </w:p>
          <w:p w14:paraId="68137730" w14:textId="77777777" w:rsidR="00AD0CF0" w:rsidRPr="00041DF6" w:rsidRDefault="00AD0CF0" w:rsidP="00F04697">
            <w:pPr>
              <w:spacing w:after="0" w:line="240" w:lineRule="auto"/>
              <w:ind w:left="720" w:hanging="720"/>
              <w:rPr>
                <w:rFonts w:ascii="Times New Roman" w:eastAsia="Batang" w:hAnsi="Times New Roman" w:cs="Times New Roman"/>
                <w:b/>
                <w:sz w:val="20"/>
                <w:szCs w:val="20"/>
                <w:lang w:val="en-GB" w:eastAsia="x-none"/>
              </w:rPr>
            </w:pPr>
          </w:p>
          <w:p w14:paraId="4DD06675" w14:textId="77777777" w:rsidR="00AD0CF0" w:rsidRPr="00041DF6" w:rsidRDefault="00AD0CF0" w:rsidP="00F04697">
            <w:pPr>
              <w:spacing w:after="0" w:line="240" w:lineRule="auto"/>
              <w:ind w:left="720" w:hanging="720"/>
              <w:rPr>
                <w:rFonts w:ascii="Times New Roman" w:eastAsia="Batang" w:hAnsi="Times New Roman" w:cs="Times New Roman"/>
                <w:b/>
                <w:sz w:val="20"/>
                <w:szCs w:val="20"/>
                <w:lang w:val="en-GB" w:eastAsia="x-none"/>
              </w:rPr>
            </w:pPr>
            <w:r w:rsidRPr="00041DF6">
              <w:rPr>
                <w:rFonts w:ascii="Times New Roman" w:eastAsia="Batang" w:hAnsi="Times New Roman" w:cs="Times New Roman"/>
                <w:b/>
                <w:sz w:val="20"/>
                <w:szCs w:val="20"/>
                <w:lang w:val="en-GB" w:eastAsia="x-none"/>
              </w:rPr>
              <w:t>For further study in future meetings:</w:t>
            </w:r>
          </w:p>
          <w:p w14:paraId="4EF77BF5" w14:textId="77777777" w:rsidR="00AD0CF0" w:rsidRPr="00041DF6" w:rsidRDefault="00AD0CF0" w:rsidP="00F04697">
            <w:pPr>
              <w:numPr>
                <w:ilvl w:val="0"/>
                <w:numId w:val="29"/>
              </w:numPr>
              <w:spacing w:after="0" w:line="240" w:lineRule="auto"/>
              <w:rPr>
                <w:rFonts w:ascii="Times New Roman" w:eastAsia="Batang" w:hAnsi="Times New Roman" w:cs="Times New Roman"/>
                <w:sz w:val="20"/>
                <w:szCs w:val="20"/>
                <w:lang w:val="en-GB"/>
              </w:rPr>
            </w:pPr>
            <w:r w:rsidRPr="00041DF6">
              <w:rPr>
                <w:rFonts w:ascii="Times New Roman" w:eastAsia="Batang" w:hAnsi="Times New Roman" w:cs="Times New Roman"/>
                <w:sz w:val="20"/>
                <w:szCs w:val="20"/>
                <w:lang w:val="en-GB"/>
              </w:rPr>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075B3D99" w14:textId="77777777" w:rsidR="00AD0CF0" w:rsidRPr="00041DF6" w:rsidRDefault="00AD0CF0" w:rsidP="00F04697">
            <w:pPr>
              <w:spacing w:after="0" w:line="240" w:lineRule="auto"/>
              <w:ind w:left="720" w:hanging="720"/>
              <w:rPr>
                <w:rFonts w:ascii="Times New Roman" w:eastAsia="Batang" w:hAnsi="Times New Roman" w:cs="Times New Roman"/>
                <w:b/>
                <w:sz w:val="20"/>
                <w:szCs w:val="20"/>
                <w:lang w:val="en-GB"/>
              </w:rPr>
            </w:pPr>
          </w:p>
          <w:p w14:paraId="5256D705" w14:textId="77777777" w:rsidR="00AD0CF0" w:rsidRPr="00041DF6" w:rsidRDefault="00AD0CF0" w:rsidP="00F04697">
            <w:pPr>
              <w:spacing w:after="0" w:line="240" w:lineRule="auto"/>
              <w:ind w:left="720" w:hanging="720"/>
              <w:rPr>
                <w:rFonts w:ascii="Times New Roman" w:eastAsia="Batang" w:hAnsi="Times New Roman" w:cs="Times New Roman"/>
                <w:b/>
                <w:sz w:val="20"/>
                <w:szCs w:val="20"/>
                <w:lang w:val="en-GB"/>
              </w:rPr>
            </w:pPr>
            <w:r w:rsidRPr="00041DF6">
              <w:rPr>
                <w:rFonts w:ascii="Times New Roman" w:eastAsia="Batang" w:hAnsi="Times New Roman" w:cs="Times New Roman"/>
                <w:b/>
                <w:sz w:val="20"/>
                <w:szCs w:val="20"/>
                <w:lang w:val="en-GB"/>
              </w:rPr>
              <w:t>Conclusion</w:t>
            </w:r>
          </w:p>
          <w:p w14:paraId="6883BCBF" w14:textId="77777777" w:rsidR="00AD0CF0" w:rsidRDefault="00AD0CF0" w:rsidP="00F04697">
            <w:pPr>
              <w:numPr>
                <w:ilvl w:val="0"/>
                <w:numId w:val="29"/>
              </w:numPr>
              <w:spacing w:after="0" w:line="240" w:lineRule="auto"/>
              <w:rPr>
                <w:rFonts w:ascii="Times New Roman" w:eastAsia="Batang" w:hAnsi="Times New Roman" w:cs="Times New Roman"/>
                <w:sz w:val="20"/>
                <w:szCs w:val="20"/>
                <w:lang w:val="en-GB"/>
              </w:rPr>
            </w:pPr>
            <w:r w:rsidRPr="00041DF6">
              <w:rPr>
                <w:rFonts w:ascii="Times New Roman" w:eastAsia="Batang" w:hAnsi="Times New Roman" w:cs="Times New Roman"/>
                <w:sz w:val="20"/>
                <w:szCs w:val="20"/>
                <w:lang w:val="en-GB"/>
              </w:rPr>
              <w:t>Non-backwards-compatible approaches for reduced CRS overhead or reduced impact from frequency hopping is not supported in Rel-16.</w:t>
            </w:r>
          </w:p>
          <w:p w14:paraId="20ECD4BD" w14:textId="77777777" w:rsidR="00AD0CF0" w:rsidRPr="00041DF6" w:rsidRDefault="00AD0CF0" w:rsidP="00F04697">
            <w:pPr>
              <w:spacing w:after="0" w:line="240" w:lineRule="auto"/>
              <w:rPr>
                <w:rFonts w:ascii="Times New Roman" w:eastAsia="Batang" w:hAnsi="Times New Roman" w:cs="Times New Roman"/>
                <w:sz w:val="20"/>
                <w:szCs w:val="20"/>
                <w:lang w:val="en-GB"/>
              </w:rPr>
            </w:pPr>
          </w:p>
        </w:tc>
      </w:tr>
    </w:tbl>
    <w:p w14:paraId="0776600E" w14:textId="77777777" w:rsidR="00AD0CF0" w:rsidRPr="0058242F" w:rsidRDefault="00AD0CF0" w:rsidP="00AD0CF0">
      <w:pPr>
        <w:pStyle w:val="Reference"/>
        <w:numPr>
          <w:ilvl w:val="0"/>
          <w:numId w:val="0"/>
        </w:numPr>
        <w:rPr>
          <w:rFonts w:ascii="Arial" w:hAnsi="Arial" w:cs="Arial"/>
          <w:sz w:val="20"/>
          <w:u w:val="single"/>
        </w:rPr>
      </w:pPr>
    </w:p>
    <w:sectPr w:rsidR="00AD0CF0" w:rsidRPr="0058242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10B20" w14:textId="77777777" w:rsidR="00154079" w:rsidRDefault="00154079">
      <w:r>
        <w:separator/>
      </w:r>
    </w:p>
  </w:endnote>
  <w:endnote w:type="continuationSeparator" w:id="0">
    <w:p w14:paraId="4C34D46B" w14:textId="77777777" w:rsidR="00154079" w:rsidRDefault="00154079">
      <w:r>
        <w:continuationSeparator/>
      </w:r>
    </w:p>
  </w:endnote>
  <w:endnote w:type="continuationNotice" w:id="1">
    <w:p w14:paraId="42C0084E" w14:textId="77777777" w:rsidR="00154079" w:rsidRDefault="001540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51E7E478" w:rsidR="00BD677F" w:rsidRDefault="00BD67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C59C8" w14:textId="77777777" w:rsidR="00154079" w:rsidRDefault="00154079">
      <w:r>
        <w:separator/>
      </w:r>
    </w:p>
  </w:footnote>
  <w:footnote w:type="continuationSeparator" w:id="0">
    <w:p w14:paraId="7E5D57B0" w14:textId="77777777" w:rsidR="00154079" w:rsidRDefault="00154079">
      <w:r>
        <w:continuationSeparator/>
      </w:r>
    </w:p>
  </w:footnote>
  <w:footnote w:type="continuationNotice" w:id="1">
    <w:p w14:paraId="58417B8D" w14:textId="77777777" w:rsidR="00154079" w:rsidRDefault="001540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BD677F" w:rsidRDefault="00BD677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88061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ED57F6"/>
    <w:multiLevelType w:val="hybridMultilevel"/>
    <w:tmpl w:val="6CF0AA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E53309"/>
    <w:multiLevelType w:val="hybridMultilevel"/>
    <w:tmpl w:val="57F0FC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0868A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FE15BC9"/>
    <w:multiLevelType w:val="hybridMultilevel"/>
    <w:tmpl w:val="CB04F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43172A"/>
    <w:multiLevelType w:val="hybridMultilevel"/>
    <w:tmpl w:val="AC500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E537C"/>
    <w:multiLevelType w:val="hybridMultilevel"/>
    <w:tmpl w:val="19CC11D8"/>
    <w:lvl w:ilvl="0" w:tplc="C49E52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671E7"/>
    <w:multiLevelType w:val="hybridMultilevel"/>
    <w:tmpl w:val="D764A2FE"/>
    <w:lvl w:ilvl="0" w:tplc="0409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08A07DE"/>
    <w:multiLevelType w:val="hybridMultilevel"/>
    <w:tmpl w:val="D57A2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466E4"/>
    <w:multiLevelType w:val="hybridMultilevel"/>
    <w:tmpl w:val="21227F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E037001"/>
    <w:multiLevelType w:val="hybridMultilevel"/>
    <w:tmpl w:val="344E00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545CB"/>
    <w:multiLevelType w:val="hybridMultilevel"/>
    <w:tmpl w:val="FACC12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C0E31"/>
    <w:multiLevelType w:val="hybridMultilevel"/>
    <w:tmpl w:val="8ABAA650"/>
    <w:lvl w:ilvl="0" w:tplc="FCA85B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E6E6993E"/>
    <w:lvl w:ilvl="0" w:tplc="86D8B526">
      <w:start w:val="1"/>
      <w:numFmt w:val="decimal"/>
      <w:pStyle w:val="Proposal"/>
      <w:lvlText w:val="Proposal %1"/>
      <w:lvlJc w:val="left"/>
      <w:pPr>
        <w:tabs>
          <w:tab w:val="num" w:pos="1304"/>
        </w:tabs>
        <w:ind w:left="1304" w:hanging="1304"/>
      </w:pPr>
      <w:rPr>
        <w:rFonts w:asciiTheme="minorBidi" w:hAnsiTheme="minorBidi" w:cstheme="minorBidi"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1E1DF0"/>
    <w:multiLevelType w:val="hybridMultilevel"/>
    <w:tmpl w:val="7E6C55CC"/>
    <w:lvl w:ilvl="0" w:tplc="C49E52CC">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A55D3"/>
    <w:multiLevelType w:val="hybridMultilevel"/>
    <w:tmpl w:val="99B06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39396E"/>
    <w:multiLevelType w:val="hybridMultilevel"/>
    <w:tmpl w:val="C76855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741310"/>
    <w:multiLevelType w:val="hybridMultilevel"/>
    <w:tmpl w:val="1EC60AD2"/>
    <w:lvl w:ilvl="0" w:tplc="C49E52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B616F8"/>
    <w:multiLevelType w:val="hybridMultilevel"/>
    <w:tmpl w:val="D6C278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87983"/>
    <w:multiLevelType w:val="hybridMultilevel"/>
    <w:tmpl w:val="99BE9720"/>
    <w:lvl w:ilvl="0" w:tplc="2EA8562A">
      <w:start w:val="1"/>
      <w:numFmt w:val="decimal"/>
      <w:lvlText w:val="Observation %1"/>
      <w:lvlJc w:val="left"/>
      <w:pPr>
        <w:tabs>
          <w:tab w:val="num" w:pos="2204"/>
        </w:tabs>
        <w:ind w:left="2204" w:hanging="1304"/>
      </w:pPr>
      <w:rPr>
        <w:rFonts w:asciiTheme="minorBidi" w:hAnsiTheme="minorBidi" w:cstheme="minorBidi" w:hint="default"/>
        <w:b w:val="0"/>
        <w:bCs w:val="0"/>
        <w:sz w:val="22"/>
        <w:szCs w:val="22"/>
        <w:lang w:val="en-US"/>
      </w:rPr>
    </w:lvl>
    <w:lvl w:ilvl="1" w:tplc="04090019">
      <w:start w:val="1"/>
      <w:numFmt w:val="lowerLetter"/>
      <w:lvlText w:val="%2."/>
      <w:lvlJc w:val="left"/>
      <w:pPr>
        <w:tabs>
          <w:tab w:val="num" w:pos="9030"/>
        </w:tabs>
        <w:ind w:left="9030" w:hanging="360"/>
      </w:pPr>
    </w:lvl>
    <w:lvl w:ilvl="2" w:tplc="0409001B">
      <w:start w:val="1"/>
      <w:numFmt w:val="lowerRoman"/>
      <w:lvlText w:val="%3."/>
      <w:lvlJc w:val="right"/>
      <w:pPr>
        <w:tabs>
          <w:tab w:val="num" w:pos="9750"/>
        </w:tabs>
        <w:ind w:left="9750" w:hanging="180"/>
      </w:pPr>
    </w:lvl>
    <w:lvl w:ilvl="3" w:tplc="0409000F" w:tentative="1">
      <w:start w:val="1"/>
      <w:numFmt w:val="decimal"/>
      <w:lvlText w:val="%4."/>
      <w:lvlJc w:val="left"/>
      <w:pPr>
        <w:tabs>
          <w:tab w:val="num" w:pos="10470"/>
        </w:tabs>
        <w:ind w:left="10470" w:hanging="360"/>
      </w:pPr>
    </w:lvl>
    <w:lvl w:ilvl="4" w:tplc="04090019" w:tentative="1">
      <w:start w:val="1"/>
      <w:numFmt w:val="lowerLetter"/>
      <w:lvlText w:val="%5."/>
      <w:lvlJc w:val="left"/>
      <w:pPr>
        <w:tabs>
          <w:tab w:val="num" w:pos="11190"/>
        </w:tabs>
        <w:ind w:left="11190" w:hanging="360"/>
      </w:pPr>
    </w:lvl>
    <w:lvl w:ilvl="5" w:tplc="0409001B" w:tentative="1">
      <w:start w:val="1"/>
      <w:numFmt w:val="lowerRoman"/>
      <w:lvlText w:val="%6."/>
      <w:lvlJc w:val="right"/>
      <w:pPr>
        <w:tabs>
          <w:tab w:val="num" w:pos="11910"/>
        </w:tabs>
        <w:ind w:left="11910" w:hanging="180"/>
      </w:pPr>
    </w:lvl>
    <w:lvl w:ilvl="6" w:tplc="0409000F" w:tentative="1">
      <w:start w:val="1"/>
      <w:numFmt w:val="decimal"/>
      <w:lvlText w:val="%7."/>
      <w:lvlJc w:val="left"/>
      <w:pPr>
        <w:tabs>
          <w:tab w:val="num" w:pos="12630"/>
        </w:tabs>
        <w:ind w:left="12630" w:hanging="360"/>
      </w:pPr>
    </w:lvl>
    <w:lvl w:ilvl="7" w:tplc="04090019" w:tentative="1">
      <w:start w:val="1"/>
      <w:numFmt w:val="lowerLetter"/>
      <w:lvlText w:val="%8."/>
      <w:lvlJc w:val="left"/>
      <w:pPr>
        <w:tabs>
          <w:tab w:val="num" w:pos="13350"/>
        </w:tabs>
        <w:ind w:left="13350" w:hanging="360"/>
      </w:pPr>
    </w:lvl>
    <w:lvl w:ilvl="8" w:tplc="0409001B" w:tentative="1">
      <w:start w:val="1"/>
      <w:numFmt w:val="lowerRoman"/>
      <w:lvlText w:val="%9."/>
      <w:lvlJc w:val="right"/>
      <w:pPr>
        <w:tabs>
          <w:tab w:val="num" w:pos="14070"/>
        </w:tabs>
        <w:ind w:left="14070" w:hanging="180"/>
      </w:pPr>
    </w:lvl>
  </w:abstractNum>
  <w:abstractNum w:abstractNumId="30" w15:restartNumberingAfterBreak="0">
    <w:nsid w:val="66EB1DF8"/>
    <w:multiLevelType w:val="hybridMultilevel"/>
    <w:tmpl w:val="CAFA9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D3AE6"/>
    <w:multiLevelType w:val="hybridMultilevel"/>
    <w:tmpl w:val="438471EA"/>
    <w:lvl w:ilvl="0" w:tplc="C49E52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F5ADD"/>
    <w:multiLevelType w:val="hybridMultilevel"/>
    <w:tmpl w:val="6EF08EF4"/>
    <w:lvl w:ilvl="0" w:tplc="DE2E0AF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2E5D5C"/>
    <w:multiLevelType w:val="hybridMultilevel"/>
    <w:tmpl w:val="F9BAD86C"/>
    <w:lvl w:ilvl="0" w:tplc="C49E52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036CC"/>
    <w:multiLevelType w:val="hybridMultilevel"/>
    <w:tmpl w:val="253EFD9A"/>
    <w:lvl w:ilvl="0" w:tplc="C49E52CC">
      <w:numFmt w:val="bullet"/>
      <w:lvlText w:val="-"/>
      <w:lvlJc w:val="left"/>
      <w:pPr>
        <w:ind w:left="1664" w:hanging="360"/>
      </w:pPr>
      <w:rPr>
        <w:rFonts w:ascii="Arial" w:eastAsiaTheme="minorHAnsi" w:hAnsi="Arial" w:cs="Aria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35" w15:restartNumberingAfterBreak="0">
    <w:nsid w:val="71CB484B"/>
    <w:multiLevelType w:val="hybridMultilevel"/>
    <w:tmpl w:val="77F22502"/>
    <w:lvl w:ilvl="0" w:tplc="C49E52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6210A"/>
    <w:multiLevelType w:val="hybridMultilevel"/>
    <w:tmpl w:val="56985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FA06B6"/>
    <w:multiLevelType w:val="hybridMultilevel"/>
    <w:tmpl w:val="699E5470"/>
    <w:lvl w:ilvl="0" w:tplc="C49E52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6A6739"/>
    <w:multiLevelType w:val="hybridMultilevel"/>
    <w:tmpl w:val="83EA3D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6"/>
  </w:num>
  <w:num w:numId="4">
    <w:abstractNumId w:val="17"/>
  </w:num>
  <w:num w:numId="5">
    <w:abstractNumId w:val="12"/>
  </w:num>
  <w:num w:numId="6">
    <w:abstractNumId w:val="20"/>
  </w:num>
  <w:num w:numId="7">
    <w:abstractNumId w:val="26"/>
  </w:num>
  <w:num w:numId="8">
    <w:abstractNumId w:val="13"/>
  </w:num>
  <w:num w:numId="9">
    <w:abstractNumId w:val="2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num>
  <w:num w:numId="14">
    <w:abstractNumId w:val="29"/>
  </w:num>
  <w:num w:numId="15">
    <w:abstractNumId w:val="34"/>
  </w:num>
  <w:num w:numId="16">
    <w:abstractNumId w:val="6"/>
  </w:num>
  <w:num w:numId="17">
    <w:abstractNumId w:val="15"/>
  </w:num>
  <w:num w:numId="18">
    <w:abstractNumId w:val="3"/>
  </w:num>
  <w:num w:numId="19">
    <w:abstractNumId w:val="16"/>
  </w:num>
  <w:num w:numId="20">
    <w:abstractNumId w:val="16"/>
  </w:num>
  <w:num w:numId="21">
    <w:abstractNumId w:val="1"/>
  </w:num>
  <w:num w:numId="22">
    <w:abstractNumId w:val="38"/>
  </w:num>
  <w:num w:numId="23">
    <w:abstractNumId w:val="11"/>
  </w:num>
  <w:num w:numId="24">
    <w:abstractNumId w:val="10"/>
  </w:num>
  <w:num w:numId="25">
    <w:abstractNumId w:val="24"/>
  </w:num>
  <w:num w:numId="26">
    <w:abstractNumId w:val="39"/>
  </w:num>
  <w:num w:numId="27">
    <w:abstractNumId w:val="27"/>
  </w:num>
  <w:num w:numId="28">
    <w:abstractNumId w:val="2"/>
  </w:num>
  <w:num w:numId="29">
    <w:abstractNumId w:val="40"/>
  </w:num>
  <w:num w:numId="30">
    <w:abstractNumId w:val="28"/>
  </w:num>
  <w:num w:numId="31">
    <w:abstractNumId w:val="14"/>
  </w:num>
  <w:num w:numId="32">
    <w:abstractNumId w:val="8"/>
  </w:num>
  <w:num w:numId="33">
    <w:abstractNumId w:val="32"/>
  </w:num>
  <w:num w:numId="34">
    <w:abstractNumId w:val="33"/>
  </w:num>
  <w:num w:numId="35">
    <w:abstractNumId w:val="35"/>
  </w:num>
  <w:num w:numId="36">
    <w:abstractNumId w:val="18"/>
  </w:num>
  <w:num w:numId="37">
    <w:abstractNumId w:val="25"/>
  </w:num>
  <w:num w:numId="38">
    <w:abstractNumId w:val="7"/>
  </w:num>
  <w:num w:numId="39">
    <w:abstractNumId w:val="9"/>
  </w:num>
  <w:num w:numId="40">
    <w:abstractNumId w:val="21"/>
  </w:num>
  <w:num w:numId="41">
    <w:abstractNumId w:val="36"/>
  </w:num>
  <w:num w:numId="42">
    <w:abstractNumId w:val="4"/>
  </w:num>
  <w:num w:numId="43">
    <w:abstractNumId w:val="30"/>
  </w:num>
  <w:num w:numId="44">
    <w:abstractNumId w:val="5"/>
  </w:num>
  <w:num w:numId="45">
    <w:abstractNumId w:val="31"/>
  </w:num>
  <w:num w:numId="46">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activeWritingStyle w:appName="MSWord" w:lang="es-MX"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0F5"/>
    <w:rsid w:val="000005FC"/>
    <w:rsid w:val="000006E1"/>
    <w:rsid w:val="000007B7"/>
    <w:rsid w:val="00002A37"/>
    <w:rsid w:val="000034F9"/>
    <w:rsid w:val="000037D6"/>
    <w:rsid w:val="000041FC"/>
    <w:rsid w:val="000062A6"/>
    <w:rsid w:val="00006446"/>
    <w:rsid w:val="00006896"/>
    <w:rsid w:val="00006FC4"/>
    <w:rsid w:val="00007CDC"/>
    <w:rsid w:val="00010074"/>
    <w:rsid w:val="000100E9"/>
    <w:rsid w:val="000101FB"/>
    <w:rsid w:val="000107F7"/>
    <w:rsid w:val="00010A72"/>
    <w:rsid w:val="00011B28"/>
    <w:rsid w:val="00012D32"/>
    <w:rsid w:val="00013659"/>
    <w:rsid w:val="000144D0"/>
    <w:rsid w:val="00014AB9"/>
    <w:rsid w:val="00015D15"/>
    <w:rsid w:val="0001658F"/>
    <w:rsid w:val="00016E78"/>
    <w:rsid w:val="00017A2C"/>
    <w:rsid w:val="0002145C"/>
    <w:rsid w:val="00021E5E"/>
    <w:rsid w:val="00022B45"/>
    <w:rsid w:val="00022C63"/>
    <w:rsid w:val="00022C65"/>
    <w:rsid w:val="00022F38"/>
    <w:rsid w:val="00023068"/>
    <w:rsid w:val="00023C3F"/>
    <w:rsid w:val="00023F1C"/>
    <w:rsid w:val="0002531D"/>
    <w:rsid w:val="0002564D"/>
    <w:rsid w:val="00025ECA"/>
    <w:rsid w:val="000325B8"/>
    <w:rsid w:val="00032EC1"/>
    <w:rsid w:val="00032F7E"/>
    <w:rsid w:val="00033DC5"/>
    <w:rsid w:val="000345B6"/>
    <w:rsid w:val="000347BA"/>
    <w:rsid w:val="00034C15"/>
    <w:rsid w:val="00035582"/>
    <w:rsid w:val="00035808"/>
    <w:rsid w:val="00036BA1"/>
    <w:rsid w:val="00036D0A"/>
    <w:rsid w:val="00036E03"/>
    <w:rsid w:val="00041DF6"/>
    <w:rsid w:val="000422E2"/>
    <w:rsid w:val="0004273A"/>
    <w:rsid w:val="00042887"/>
    <w:rsid w:val="00042897"/>
    <w:rsid w:val="00042F22"/>
    <w:rsid w:val="000444EF"/>
    <w:rsid w:val="00044A3F"/>
    <w:rsid w:val="00045EFE"/>
    <w:rsid w:val="000463C6"/>
    <w:rsid w:val="00046871"/>
    <w:rsid w:val="00047FAD"/>
    <w:rsid w:val="00051C11"/>
    <w:rsid w:val="00052A07"/>
    <w:rsid w:val="000534E3"/>
    <w:rsid w:val="00055FDE"/>
    <w:rsid w:val="0005606A"/>
    <w:rsid w:val="00057117"/>
    <w:rsid w:val="00057F55"/>
    <w:rsid w:val="00060193"/>
    <w:rsid w:val="00060FF1"/>
    <w:rsid w:val="00061358"/>
    <w:rsid w:val="000616E7"/>
    <w:rsid w:val="00061E4D"/>
    <w:rsid w:val="0006487E"/>
    <w:rsid w:val="00064C19"/>
    <w:rsid w:val="00065482"/>
    <w:rsid w:val="00065CFA"/>
    <w:rsid w:val="00065E1A"/>
    <w:rsid w:val="00065E24"/>
    <w:rsid w:val="00066EC3"/>
    <w:rsid w:val="000677FF"/>
    <w:rsid w:val="00071676"/>
    <w:rsid w:val="0007269A"/>
    <w:rsid w:val="00072710"/>
    <w:rsid w:val="00072E50"/>
    <w:rsid w:val="00074156"/>
    <w:rsid w:val="00074475"/>
    <w:rsid w:val="000753A1"/>
    <w:rsid w:val="00077B3B"/>
    <w:rsid w:val="00077E5F"/>
    <w:rsid w:val="0008036A"/>
    <w:rsid w:val="00080C78"/>
    <w:rsid w:val="000810A0"/>
    <w:rsid w:val="000813B5"/>
    <w:rsid w:val="000816D5"/>
    <w:rsid w:val="00081AE6"/>
    <w:rsid w:val="000827C3"/>
    <w:rsid w:val="00082BC1"/>
    <w:rsid w:val="00082D23"/>
    <w:rsid w:val="00083273"/>
    <w:rsid w:val="00084039"/>
    <w:rsid w:val="000848D7"/>
    <w:rsid w:val="00084CD8"/>
    <w:rsid w:val="0008530C"/>
    <w:rsid w:val="000855EB"/>
    <w:rsid w:val="00085920"/>
    <w:rsid w:val="00085B52"/>
    <w:rsid w:val="000866F2"/>
    <w:rsid w:val="0008695D"/>
    <w:rsid w:val="0009009F"/>
    <w:rsid w:val="00090D3A"/>
    <w:rsid w:val="00091557"/>
    <w:rsid w:val="00091B03"/>
    <w:rsid w:val="00091BB2"/>
    <w:rsid w:val="00091CD4"/>
    <w:rsid w:val="0009234C"/>
    <w:rsid w:val="000924C1"/>
    <w:rsid w:val="000924F0"/>
    <w:rsid w:val="0009335A"/>
    <w:rsid w:val="00093474"/>
    <w:rsid w:val="00094903"/>
    <w:rsid w:val="00094CC7"/>
    <w:rsid w:val="0009510F"/>
    <w:rsid w:val="0009583E"/>
    <w:rsid w:val="0009622C"/>
    <w:rsid w:val="00096352"/>
    <w:rsid w:val="00096EE0"/>
    <w:rsid w:val="00097077"/>
    <w:rsid w:val="000976E0"/>
    <w:rsid w:val="000A1303"/>
    <w:rsid w:val="000A1925"/>
    <w:rsid w:val="000A1B7B"/>
    <w:rsid w:val="000A2EB2"/>
    <w:rsid w:val="000A2F84"/>
    <w:rsid w:val="000A3C1B"/>
    <w:rsid w:val="000A45FC"/>
    <w:rsid w:val="000A4D8A"/>
    <w:rsid w:val="000A4F6F"/>
    <w:rsid w:val="000A52A3"/>
    <w:rsid w:val="000A52DC"/>
    <w:rsid w:val="000A56F2"/>
    <w:rsid w:val="000A6292"/>
    <w:rsid w:val="000A7E5A"/>
    <w:rsid w:val="000B0AB7"/>
    <w:rsid w:val="000B0D32"/>
    <w:rsid w:val="000B18A0"/>
    <w:rsid w:val="000B1C13"/>
    <w:rsid w:val="000B1D85"/>
    <w:rsid w:val="000B2719"/>
    <w:rsid w:val="000B32BA"/>
    <w:rsid w:val="000B395C"/>
    <w:rsid w:val="000B3A8F"/>
    <w:rsid w:val="000B3B70"/>
    <w:rsid w:val="000B4A13"/>
    <w:rsid w:val="000B4AB9"/>
    <w:rsid w:val="000B58C3"/>
    <w:rsid w:val="000B5A30"/>
    <w:rsid w:val="000B61E9"/>
    <w:rsid w:val="000B62F0"/>
    <w:rsid w:val="000B6D59"/>
    <w:rsid w:val="000C165A"/>
    <w:rsid w:val="000C2C31"/>
    <w:rsid w:val="000C2E19"/>
    <w:rsid w:val="000C4131"/>
    <w:rsid w:val="000C64A0"/>
    <w:rsid w:val="000C697B"/>
    <w:rsid w:val="000D040A"/>
    <w:rsid w:val="000D0576"/>
    <w:rsid w:val="000D0D07"/>
    <w:rsid w:val="000D10A1"/>
    <w:rsid w:val="000D2B45"/>
    <w:rsid w:val="000D4797"/>
    <w:rsid w:val="000D4D99"/>
    <w:rsid w:val="000D5343"/>
    <w:rsid w:val="000D58DA"/>
    <w:rsid w:val="000D5AA7"/>
    <w:rsid w:val="000D5E14"/>
    <w:rsid w:val="000D5F64"/>
    <w:rsid w:val="000D65EF"/>
    <w:rsid w:val="000D6655"/>
    <w:rsid w:val="000D7C97"/>
    <w:rsid w:val="000D7EF5"/>
    <w:rsid w:val="000D7F82"/>
    <w:rsid w:val="000E0527"/>
    <w:rsid w:val="000E0D16"/>
    <w:rsid w:val="000E1E92"/>
    <w:rsid w:val="000E2052"/>
    <w:rsid w:val="000E2ADC"/>
    <w:rsid w:val="000E34A4"/>
    <w:rsid w:val="000E42B6"/>
    <w:rsid w:val="000E5556"/>
    <w:rsid w:val="000E6213"/>
    <w:rsid w:val="000F060F"/>
    <w:rsid w:val="000F06D6"/>
    <w:rsid w:val="000F0AB1"/>
    <w:rsid w:val="000F0EB1"/>
    <w:rsid w:val="000F1106"/>
    <w:rsid w:val="000F2B8F"/>
    <w:rsid w:val="000F3733"/>
    <w:rsid w:val="000F3BE9"/>
    <w:rsid w:val="000F3F6C"/>
    <w:rsid w:val="000F4C5F"/>
    <w:rsid w:val="000F581F"/>
    <w:rsid w:val="000F6DF3"/>
    <w:rsid w:val="000F6EDD"/>
    <w:rsid w:val="000F6FF4"/>
    <w:rsid w:val="000F7A1A"/>
    <w:rsid w:val="00100084"/>
    <w:rsid w:val="0010045B"/>
    <w:rsid w:val="001005FF"/>
    <w:rsid w:val="00100E9F"/>
    <w:rsid w:val="00103327"/>
    <w:rsid w:val="00104164"/>
    <w:rsid w:val="001062FB"/>
    <w:rsid w:val="001063E6"/>
    <w:rsid w:val="001067D4"/>
    <w:rsid w:val="00106BCB"/>
    <w:rsid w:val="00106D49"/>
    <w:rsid w:val="00107597"/>
    <w:rsid w:val="00107A3F"/>
    <w:rsid w:val="00107FD8"/>
    <w:rsid w:val="00110A2C"/>
    <w:rsid w:val="0011379B"/>
    <w:rsid w:val="00113CF4"/>
    <w:rsid w:val="0011407E"/>
    <w:rsid w:val="001149A7"/>
    <w:rsid w:val="00115098"/>
    <w:rsid w:val="001153EA"/>
    <w:rsid w:val="00115643"/>
    <w:rsid w:val="00115D15"/>
    <w:rsid w:val="00116765"/>
    <w:rsid w:val="00116D05"/>
    <w:rsid w:val="00120580"/>
    <w:rsid w:val="00121049"/>
    <w:rsid w:val="001219F5"/>
    <w:rsid w:val="00121A20"/>
    <w:rsid w:val="00122AFF"/>
    <w:rsid w:val="00122FC2"/>
    <w:rsid w:val="00123136"/>
    <w:rsid w:val="0012377F"/>
    <w:rsid w:val="001237AD"/>
    <w:rsid w:val="00123EB3"/>
    <w:rsid w:val="00124314"/>
    <w:rsid w:val="0012655A"/>
    <w:rsid w:val="00126B4A"/>
    <w:rsid w:val="00127299"/>
    <w:rsid w:val="00127D55"/>
    <w:rsid w:val="00127EA8"/>
    <w:rsid w:val="001306C7"/>
    <w:rsid w:val="00130CC6"/>
    <w:rsid w:val="0013138E"/>
    <w:rsid w:val="0013229D"/>
    <w:rsid w:val="00132626"/>
    <w:rsid w:val="00132FD0"/>
    <w:rsid w:val="001344C0"/>
    <w:rsid w:val="001346FA"/>
    <w:rsid w:val="00135252"/>
    <w:rsid w:val="0013639F"/>
    <w:rsid w:val="00136EDE"/>
    <w:rsid w:val="00137AB5"/>
    <w:rsid w:val="00137F0B"/>
    <w:rsid w:val="0014034A"/>
    <w:rsid w:val="00140BAC"/>
    <w:rsid w:val="00141B8E"/>
    <w:rsid w:val="00141EF6"/>
    <w:rsid w:val="00143529"/>
    <w:rsid w:val="00144707"/>
    <w:rsid w:val="00145B21"/>
    <w:rsid w:val="00147730"/>
    <w:rsid w:val="00147735"/>
    <w:rsid w:val="00147B0C"/>
    <w:rsid w:val="00150516"/>
    <w:rsid w:val="00150FBA"/>
    <w:rsid w:val="0015153C"/>
    <w:rsid w:val="00151D76"/>
    <w:rsid w:val="00151E10"/>
    <w:rsid w:val="00151E23"/>
    <w:rsid w:val="001521A7"/>
    <w:rsid w:val="00152478"/>
    <w:rsid w:val="001526E0"/>
    <w:rsid w:val="00153AE0"/>
    <w:rsid w:val="00154079"/>
    <w:rsid w:val="00154B9F"/>
    <w:rsid w:val="001551B5"/>
    <w:rsid w:val="00155633"/>
    <w:rsid w:val="00155CCD"/>
    <w:rsid w:val="0015719E"/>
    <w:rsid w:val="0015763F"/>
    <w:rsid w:val="00160F44"/>
    <w:rsid w:val="001627F3"/>
    <w:rsid w:val="00164EE9"/>
    <w:rsid w:val="0016521B"/>
    <w:rsid w:val="0016585E"/>
    <w:rsid w:val="001659C1"/>
    <w:rsid w:val="00165C57"/>
    <w:rsid w:val="00167219"/>
    <w:rsid w:val="00167308"/>
    <w:rsid w:val="001673D6"/>
    <w:rsid w:val="0017055A"/>
    <w:rsid w:val="00170B24"/>
    <w:rsid w:val="00170ECD"/>
    <w:rsid w:val="00172679"/>
    <w:rsid w:val="00173197"/>
    <w:rsid w:val="00173A8E"/>
    <w:rsid w:val="00175895"/>
    <w:rsid w:val="00175ADA"/>
    <w:rsid w:val="00175E87"/>
    <w:rsid w:val="001772FD"/>
    <w:rsid w:val="00177795"/>
    <w:rsid w:val="00180206"/>
    <w:rsid w:val="00180F5C"/>
    <w:rsid w:val="0018107B"/>
    <w:rsid w:val="0018143F"/>
    <w:rsid w:val="00181C27"/>
    <w:rsid w:val="00181D2B"/>
    <w:rsid w:val="001828A7"/>
    <w:rsid w:val="00182F1C"/>
    <w:rsid w:val="00183297"/>
    <w:rsid w:val="00183850"/>
    <w:rsid w:val="00184233"/>
    <w:rsid w:val="00185100"/>
    <w:rsid w:val="00186C84"/>
    <w:rsid w:val="00186D0B"/>
    <w:rsid w:val="00187261"/>
    <w:rsid w:val="001875F8"/>
    <w:rsid w:val="00190753"/>
    <w:rsid w:val="00190AC1"/>
    <w:rsid w:val="00191E52"/>
    <w:rsid w:val="001920E0"/>
    <w:rsid w:val="001928FE"/>
    <w:rsid w:val="0019341A"/>
    <w:rsid w:val="00193690"/>
    <w:rsid w:val="00193C18"/>
    <w:rsid w:val="00194110"/>
    <w:rsid w:val="00194315"/>
    <w:rsid w:val="00194605"/>
    <w:rsid w:val="001952ED"/>
    <w:rsid w:val="00195DFB"/>
    <w:rsid w:val="00195EC0"/>
    <w:rsid w:val="001961E4"/>
    <w:rsid w:val="00196EEF"/>
    <w:rsid w:val="00197DF9"/>
    <w:rsid w:val="001A0286"/>
    <w:rsid w:val="001A0882"/>
    <w:rsid w:val="001A0E40"/>
    <w:rsid w:val="001A0F7B"/>
    <w:rsid w:val="001A1987"/>
    <w:rsid w:val="001A1B37"/>
    <w:rsid w:val="001A2564"/>
    <w:rsid w:val="001A2567"/>
    <w:rsid w:val="001A34AC"/>
    <w:rsid w:val="001A39A0"/>
    <w:rsid w:val="001A3C32"/>
    <w:rsid w:val="001A47D9"/>
    <w:rsid w:val="001A6173"/>
    <w:rsid w:val="001A6CBA"/>
    <w:rsid w:val="001A78DD"/>
    <w:rsid w:val="001A7AE9"/>
    <w:rsid w:val="001A7FCF"/>
    <w:rsid w:val="001B0B4F"/>
    <w:rsid w:val="001B0D97"/>
    <w:rsid w:val="001B1861"/>
    <w:rsid w:val="001B199A"/>
    <w:rsid w:val="001B2FDF"/>
    <w:rsid w:val="001B3256"/>
    <w:rsid w:val="001B4CF0"/>
    <w:rsid w:val="001B504C"/>
    <w:rsid w:val="001B53C4"/>
    <w:rsid w:val="001B5A5D"/>
    <w:rsid w:val="001B5E4F"/>
    <w:rsid w:val="001B5EF1"/>
    <w:rsid w:val="001C02CF"/>
    <w:rsid w:val="001C1CE5"/>
    <w:rsid w:val="001C3D2A"/>
    <w:rsid w:val="001C519D"/>
    <w:rsid w:val="001C5A6B"/>
    <w:rsid w:val="001D06D5"/>
    <w:rsid w:val="001D1BCD"/>
    <w:rsid w:val="001D20A2"/>
    <w:rsid w:val="001D216C"/>
    <w:rsid w:val="001D51BA"/>
    <w:rsid w:val="001D59EA"/>
    <w:rsid w:val="001D5E24"/>
    <w:rsid w:val="001D6342"/>
    <w:rsid w:val="001D6437"/>
    <w:rsid w:val="001D6D53"/>
    <w:rsid w:val="001D6E86"/>
    <w:rsid w:val="001D798B"/>
    <w:rsid w:val="001D7FFE"/>
    <w:rsid w:val="001E076F"/>
    <w:rsid w:val="001E123A"/>
    <w:rsid w:val="001E1AB1"/>
    <w:rsid w:val="001E2198"/>
    <w:rsid w:val="001E2DAB"/>
    <w:rsid w:val="001E32F6"/>
    <w:rsid w:val="001E4152"/>
    <w:rsid w:val="001E58E2"/>
    <w:rsid w:val="001E7AED"/>
    <w:rsid w:val="001E7CD5"/>
    <w:rsid w:val="001E7E77"/>
    <w:rsid w:val="001F0588"/>
    <w:rsid w:val="001F0DDF"/>
    <w:rsid w:val="001F1151"/>
    <w:rsid w:val="001F13C2"/>
    <w:rsid w:val="001F1DE5"/>
    <w:rsid w:val="001F3916"/>
    <w:rsid w:val="001F3A21"/>
    <w:rsid w:val="001F3F0F"/>
    <w:rsid w:val="001F3F7B"/>
    <w:rsid w:val="001F54C5"/>
    <w:rsid w:val="001F6556"/>
    <w:rsid w:val="001F662C"/>
    <w:rsid w:val="001F7074"/>
    <w:rsid w:val="00200490"/>
    <w:rsid w:val="00200A1C"/>
    <w:rsid w:val="002013BC"/>
    <w:rsid w:val="00201F3A"/>
    <w:rsid w:val="00201FD7"/>
    <w:rsid w:val="002030DB"/>
    <w:rsid w:val="0020374B"/>
    <w:rsid w:val="00203F96"/>
    <w:rsid w:val="0020416D"/>
    <w:rsid w:val="0020466A"/>
    <w:rsid w:val="002069B2"/>
    <w:rsid w:val="00207FA3"/>
    <w:rsid w:val="0021023C"/>
    <w:rsid w:val="002108D0"/>
    <w:rsid w:val="00211089"/>
    <w:rsid w:val="002110EB"/>
    <w:rsid w:val="00211346"/>
    <w:rsid w:val="002115C0"/>
    <w:rsid w:val="00211B51"/>
    <w:rsid w:val="0021217E"/>
    <w:rsid w:val="00213EF0"/>
    <w:rsid w:val="00213F8A"/>
    <w:rsid w:val="00214DA8"/>
    <w:rsid w:val="00215423"/>
    <w:rsid w:val="002158FA"/>
    <w:rsid w:val="002166C0"/>
    <w:rsid w:val="00220600"/>
    <w:rsid w:val="00220C70"/>
    <w:rsid w:val="002224DB"/>
    <w:rsid w:val="00222522"/>
    <w:rsid w:val="00223FCB"/>
    <w:rsid w:val="00224CB1"/>
    <w:rsid w:val="00225266"/>
    <w:rsid w:val="002252C3"/>
    <w:rsid w:val="00225C54"/>
    <w:rsid w:val="002269DD"/>
    <w:rsid w:val="002273B0"/>
    <w:rsid w:val="00227F7F"/>
    <w:rsid w:val="00230765"/>
    <w:rsid w:val="002319E4"/>
    <w:rsid w:val="00231D45"/>
    <w:rsid w:val="00232B73"/>
    <w:rsid w:val="00233362"/>
    <w:rsid w:val="00234030"/>
    <w:rsid w:val="00234CAA"/>
    <w:rsid w:val="00235632"/>
    <w:rsid w:val="00235872"/>
    <w:rsid w:val="00235B91"/>
    <w:rsid w:val="00236675"/>
    <w:rsid w:val="00236729"/>
    <w:rsid w:val="002367C1"/>
    <w:rsid w:val="00240389"/>
    <w:rsid w:val="002408F3"/>
    <w:rsid w:val="00240BD0"/>
    <w:rsid w:val="00240D7A"/>
    <w:rsid w:val="00241052"/>
    <w:rsid w:val="00241559"/>
    <w:rsid w:val="0024199E"/>
    <w:rsid w:val="00241E01"/>
    <w:rsid w:val="00242BA6"/>
    <w:rsid w:val="00242DBE"/>
    <w:rsid w:val="00243258"/>
    <w:rsid w:val="002432B9"/>
    <w:rsid w:val="002435B3"/>
    <w:rsid w:val="00244277"/>
    <w:rsid w:val="0024454D"/>
    <w:rsid w:val="002458EB"/>
    <w:rsid w:val="00245BEF"/>
    <w:rsid w:val="00246EF1"/>
    <w:rsid w:val="00247094"/>
    <w:rsid w:val="002500C8"/>
    <w:rsid w:val="0025240A"/>
    <w:rsid w:val="00253A8D"/>
    <w:rsid w:val="00254195"/>
    <w:rsid w:val="0025579D"/>
    <w:rsid w:val="00255CCE"/>
    <w:rsid w:val="00256255"/>
    <w:rsid w:val="002563B4"/>
    <w:rsid w:val="002567DE"/>
    <w:rsid w:val="002569B3"/>
    <w:rsid w:val="002574DE"/>
    <w:rsid w:val="00257543"/>
    <w:rsid w:val="00257F8B"/>
    <w:rsid w:val="0026048B"/>
    <w:rsid w:val="00260A44"/>
    <w:rsid w:val="002617E7"/>
    <w:rsid w:val="00261D1E"/>
    <w:rsid w:val="0026312F"/>
    <w:rsid w:val="00263A25"/>
    <w:rsid w:val="00263DF3"/>
    <w:rsid w:val="00264228"/>
    <w:rsid w:val="00264334"/>
    <w:rsid w:val="0026473E"/>
    <w:rsid w:val="00265BDB"/>
    <w:rsid w:val="00266214"/>
    <w:rsid w:val="00266545"/>
    <w:rsid w:val="00266A8B"/>
    <w:rsid w:val="00267773"/>
    <w:rsid w:val="00267C83"/>
    <w:rsid w:val="00270DEF"/>
    <w:rsid w:val="002712A9"/>
    <w:rsid w:val="0027144F"/>
    <w:rsid w:val="002715D4"/>
    <w:rsid w:val="0027166F"/>
    <w:rsid w:val="00271F3A"/>
    <w:rsid w:val="0027292E"/>
    <w:rsid w:val="00273278"/>
    <w:rsid w:val="002737F4"/>
    <w:rsid w:val="0027421E"/>
    <w:rsid w:val="002743D8"/>
    <w:rsid w:val="00274D9C"/>
    <w:rsid w:val="0027713B"/>
    <w:rsid w:val="002805F5"/>
    <w:rsid w:val="00280751"/>
    <w:rsid w:val="002808F0"/>
    <w:rsid w:val="00280E68"/>
    <w:rsid w:val="00281428"/>
    <w:rsid w:val="0028280A"/>
    <w:rsid w:val="0028473A"/>
    <w:rsid w:val="00285090"/>
    <w:rsid w:val="002857B5"/>
    <w:rsid w:val="00286963"/>
    <w:rsid w:val="00286ACD"/>
    <w:rsid w:val="00287838"/>
    <w:rsid w:val="002907B5"/>
    <w:rsid w:val="00290B71"/>
    <w:rsid w:val="0029261B"/>
    <w:rsid w:val="00292EB7"/>
    <w:rsid w:val="0029303B"/>
    <w:rsid w:val="00296227"/>
    <w:rsid w:val="00296F44"/>
    <w:rsid w:val="0029777D"/>
    <w:rsid w:val="00297D90"/>
    <w:rsid w:val="00297DA3"/>
    <w:rsid w:val="002A055E"/>
    <w:rsid w:val="002A11F2"/>
    <w:rsid w:val="002A1D4E"/>
    <w:rsid w:val="002A2869"/>
    <w:rsid w:val="002A2E5A"/>
    <w:rsid w:val="002A4765"/>
    <w:rsid w:val="002A4ED2"/>
    <w:rsid w:val="002A52DB"/>
    <w:rsid w:val="002A5552"/>
    <w:rsid w:val="002A6C74"/>
    <w:rsid w:val="002A718F"/>
    <w:rsid w:val="002B0F8E"/>
    <w:rsid w:val="002B123D"/>
    <w:rsid w:val="002B17B0"/>
    <w:rsid w:val="002B1D6F"/>
    <w:rsid w:val="002B24D6"/>
    <w:rsid w:val="002B6AF1"/>
    <w:rsid w:val="002B74E2"/>
    <w:rsid w:val="002C047E"/>
    <w:rsid w:val="002C1291"/>
    <w:rsid w:val="002C1520"/>
    <w:rsid w:val="002C1687"/>
    <w:rsid w:val="002C185A"/>
    <w:rsid w:val="002C41E6"/>
    <w:rsid w:val="002C4297"/>
    <w:rsid w:val="002C4965"/>
    <w:rsid w:val="002C5BA4"/>
    <w:rsid w:val="002C6937"/>
    <w:rsid w:val="002D0676"/>
    <w:rsid w:val="002D071A"/>
    <w:rsid w:val="002D0A21"/>
    <w:rsid w:val="002D117D"/>
    <w:rsid w:val="002D164E"/>
    <w:rsid w:val="002D2A60"/>
    <w:rsid w:val="002D34B2"/>
    <w:rsid w:val="002D61BE"/>
    <w:rsid w:val="002D64DE"/>
    <w:rsid w:val="002D678F"/>
    <w:rsid w:val="002D7348"/>
    <w:rsid w:val="002D7602"/>
    <w:rsid w:val="002D7637"/>
    <w:rsid w:val="002E138F"/>
    <w:rsid w:val="002E17F2"/>
    <w:rsid w:val="002E225F"/>
    <w:rsid w:val="002E22F2"/>
    <w:rsid w:val="002E26D3"/>
    <w:rsid w:val="002E34FD"/>
    <w:rsid w:val="002E3B84"/>
    <w:rsid w:val="002E4FBD"/>
    <w:rsid w:val="002E58FC"/>
    <w:rsid w:val="002E5DEC"/>
    <w:rsid w:val="002E6F18"/>
    <w:rsid w:val="002E6FAA"/>
    <w:rsid w:val="002E7CAE"/>
    <w:rsid w:val="002F0D17"/>
    <w:rsid w:val="002F1105"/>
    <w:rsid w:val="002F1F26"/>
    <w:rsid w:val="002F208C"/>
    <w:rsid w:val="002F2771"/>
    <w:rsid w:val="002F37A9"/>
    <w:rsid w:val="002F37DD"/>
    <w:rsid w:val="002F39F8"/>
    <w:rsid w:val="002F483A"/>
    <w:rsid w:val="002F724F"/>
    <w:rsid w:val="002F7264"/>
    <w:rsid w:val="002F745C"/>
    <w:rsid w:val="002F7A65"/>
    <w:rsid w:val="003003A0"/>
    <w:rsid w:val="00300466"/>
    <w:rsid w:val="00300B3E"/>
    <w:rsid w:val="00300E98"/>
    <w:rsid w:val="00301AA1"/>
    <w:rsid w:val="00301CE6"/>
    <w:rsid w:val="0030246F"/>
    <w:rsid w:val="0030256B"/>
    <w:rsid w:val="00302F50"/>
    <w:rsid w:val="0030429B"/>
    <w:rsid w:val="0030501F"/>
    <w:rsid w:val="00305BB2"/>
    <w:rsid w:val="00306679"/>
    <w:rsid w:val="00307BA1"/>
    <w:rsid w:val="00310AC9"/>
    <w:rsid w:val="003113F8"/>
    <w:rsid w:val="00311702"/>
    <w:rsid w:val="0031181A"/>
    <w:rsid w:val="003118EB"/>
    <w:rsid w:val="00311C0E"/>
    <w:rsid w:val="00311E82"/>
    <w:rsid w:val="00312DFA"/>
    <w:rsid w:val="00313FD6"/>
    <w:rsid w:val="003143BD"/>
    <w:rsid w:val="00316EB1"/>
    <w:rsid w:val="0031713E"/>
    <w:rsid w:val="003174F1"/>
    <w:rsid w:val="0031795A"/>
    <w:rsid w:val="003203ED"/>
    <w:rsid w:val="00321537"/>
    <w:rsid w:val="00321FA9"/>
    <w:rsid w:val="00321FE3"/>
    <w:rsid w:val="00322C9F"/>
    <w:rsid w:val="00323E38"/>
    <w:rsid w:val="00324857"/>
    <w:rsid w:val="00324D23"/>
    <w:rsid w:val="00324E94"/>
    <w:rsid w:val="003260FD"/>
    <w:rsid w:val="00326408"/>
    <w:rsid w:val="00326AD9"/>
    <w:rsid w:val="00326F9C"/>
    <w:rsid w:val="003276E7"/>
    <w:rsid w:val="003300EF"/>
    <w:rsid w:val="00331751"/>
    <w:rsid w:val="00332F8C"/>
    <w:rsid w:val="0033340B"/>
    <w:rsid w:val="00333854"/>
    <w:rsid w:val="0033393B"/>
    <w:rsid w:val="00334579"/>
    <w:rsid w:val="00334988"/>
    <w:rsid w:val="00334BA8"/>
    <w:rsid w:val="00335858"/>
    <w:rsid w:val="00336BDA"/>
    <w:rsid w:val="00336C6A"/>
    <w:rsid w:val="00337037"/>
    <w:rsid w:val="0033785B"/>
    <w:rsid w:val="003417D5"/>
    <w:rsid w:val="00341DD9"/>
    <w:rsid w:val="00342ABD"/>
    <w:rsid w:val="00342BD7"/>
    <w:rsid w:val="00342E20"/>
    <w:rsid w:val="0034316C"/>
    <w:rsid w:val="003439E3"/>
    <w:rsid w:val="00343A07"/>
    <w:rsid w:val="0034504D"/>
    <w:rsid w:val="00345063"/>
    <w:rsid w:val="00346C80"/>
    <w:rsid w:val="00346DB5"/>
    <w:rsid w:val="0034748B"/>
    <w:rsid w:val="003477B1"/>
    <w:rsid w:val="00347826"/>
    <w:rsid w:val="00347F8B"/>
    <w:rsid w:val="00350F18"/>
    <w:rsid w:val="003513ED"/>
    <w:rsid w:val="003524F9"/>
    <w:rsid w:val="0035419E"/>
    <w:rsid w:val="0035465A"/>
    <w:rsid w:val="00355502"/>
    <w:rsid w:val="00355BD5"/>
    <w:rsid w:val="0035626E"/>
    <w:rsid w:val="00357380"/>
    <w:rsid w:val="00357E61"/>
    <w:rsid w:val="003602D9"/>
    <w:rsid w:val="0036031D"/>
    <w:rsid w:val="003604CE"/>
    <w:rsid w:val="00360B28"/>
    <w:rsid w:val="00360C85"/>
    <w:rsid w:val="003616EE"/>
    <w:rsid w:val="0036270B"/>
    <w:rsid w:val="00364032"/>
    <w:rsid w:val="00364D8A"/>
    <w:rsid w:val="003664D0"/>
    <w:rsid w:val="0036774F"/>
    <w:rsid w:val="00370E47"/>
    <w:rsid w:val="00371A33"/>
    <w:rsid w:val="00371DF8"/>
    <w:rsid w:val="003721E5"/>
    <w:rsid w:val="00372F41"/>
    <w:rsid w:val="003741AA"/>
    <w:rsid w:val="003742AC"/>
    <w:rsid w:val="00375A1A"/>
    <w:rsid w:val="003767D5"/>
    <w:rsid w:val="003768F7"/>
    <w:rsid w:val="003768FE"/>
    <w:rsid w:val="00377A90"/>
    <w:rsid w:val="00377CE1"/>
    <w:rsid w:val="0038344E"/>
    <w:rsid w:val="00384F7C"/>
    <w:rsid w:val="00385288"/>
    <w:rsid w:val="003852F0"/>
    <w:rsid w:val="00385BF0"/>
    <w:rsid w:val="00385E2B"/>
    <w:rsid w:val="00386980"/>
    <w:rsid w:val="003875C6"/>
    <w:rsid w:val="003878E4"/>
    <w:rsid w:val="00387CB9"/>
    <w:rsid w:val="00387CD8"/>
    <w:rsid w:val="00387EF3"/>
    <w:rsid w:val="00390B78"/>
    <w:rsid w:val="00391041"/>
    <w:rsid w:val="00391581"/>
    <w:rsid w:val="00391DCC"/>
    <w:rsid w:val="00392332"/>
    <w:rsid w:val="00392B92"/>
    <w:rsid w:val="0039367A"/>
    <w:rsid w:val="003939FF"/>
    <w:rsid w:val="00394BBE"/>
    <w:rsid w:val="00395147"/>
    <w:rsid w:val="0039570D"/>
    <w:rsid w:val="00396C22"/>
    <w:rsid w:val="003977D0"/>
    <w:rsid w:val="003A019F"/>
    <w:rsid w:val="003A0970"/>
    <w:rsid w:val="003A0FFF"/>
    <w:rsid w:val="003A18EC"/>
    <w:rsid w:val="003A21A3"/>
    <w:rsid w:val="003A2223"/>
    <w:rsid w:val="003A2908"/>
    <w:rsid w:val="003A2A0F"/>
    <w:rsid w:val="003A2BB7"/>
    <w:rsid w:val="003A45A1"/>
    <w:rsid w:val="003A5420"/>
    <w:rsid w:val="003A5B0A"/>
    <w:rsid w:val="003A6BAC"/>
    <w:rsid w:val="003A7EF3"/>
    <w:rsid w:val="003B0637"/>
    <w:rsid w:val="003B1243"/>
    <w:rsid w:val="003B159C"/>
    <w:rsid w:val="003B1CD2"/>
    <w:rsid w:val="003B2BE9"/>
    <w:rsid w:val="003B2F80"/>
    <w:rsid w:val="003B369F"/>
    <w:rsid w:val="003B36A3"/>
    <w:rsid w:val="003B378C"/>
    <w:rsid w:val="003B3BE5"/>
    <w:rsid w:val="003B47F0"/>
    <w:rsid w:val="003B4DD1"/>
    <w:rsid w:val="003B56A3"/>
    <w:rsid w:val="003B5EB8"/>
    <w:rsid w:val="003B7C64"/>
    <w:rsid w:val="003B7C91"/>
    <w:rsid w:val="003B7E74"/>
    <w:rsid w:val="003B7FE5"/>
    <w:rsid w:val="003C11C8"/>
    <w:rsid w:val="003C238C"/>
    <w:rsid w:val="003C2702"/>
    <w:rsid w:val="003C2888"/>
    <w:rsid w:val="003C2BA0"/>
    <w:rsid w:val="003C41F1"/>
    <w:rsid w:val="003C46F3"/>
    <w:rsid w:val="003C494C"/>
    <w:rsid w:val="003C5AC5"/>
    <w:rsid w:val="003C7806"/>
    <w:rsid w:val="003C78C4"/>
    <w:rsid w:val="003C7D3E"/>
    <w:rsid w:val="003D008F"/>
    <w:rsid w:val="003D00F6"/>
    <w:rsid w:val="003D0400"/>
    <w:rsid w:val="003D109F"/>
    <w:rsid w:val="003D2439"/>
    <w:rsid w:val="003D2478"/>
    <w:rsid w:val="003D359A"/>
    <w:rsid w:val="003D3C45"/>
    <w:rsid w:val="003D4F4C"/>
    <w:rsid w:val="003D5B1F"/>
    <w:rsid w:val="003D74AA"/>
    <w:rsid w:val="003D74CB"/>
    <w:rsid w:val="003E0A31"/>
    <w:rsid w:val="003E0A62"/>
    <w:rsid w:val="003E1503"/>
    <w:rsid w:val="003E15FA"/>
    <w:rsid w:val="003E2ADA"/>
    <w:rsid w:val="003E2FC5"/>
    <w:rsid w:val="003E3838"/>
    <w:rsid w:val="003E4268"/>
    <w:rsid w:val="003E4835"/>
    <w:rsid w:val="003E55E4"/>
    <w:rsid w:val="003E5E20"/>
    <w:rsid w:val="003E6848"/>
    <w:rsid w:val="003E6C50"/>
    <w:rsid w:val="003E6D52"/>
    <w:rsid w:val="003E74E3"/>
    <w:rsid w:val="003F05C7"/>
    <w:rsid w:val="003F08C8"/>
    <w:rsid w:val="003F1025"/>
    <w:rsid w:val="003F1249"/>
    <w:rsid w:val="003F12B3"/>
    <w:rsid w:val="003F1B1B"/>
    <w:rsid w:val="003F1EA9"/>
    <w:rsid w:val="003F2CD4"/>
    <w:rsid w:val="003F377A"/>
    <w:rsid w:val="003F3E41"/>
    <w:rsid w:val="003F4061"/>
    <w:rsid w:val="003F46C1"/>
    <w:rsid w:val="003F4C5C"/>
    <w:rsid w:val="003F50CF"/>
    <w:rsid w:val="003F6BBE"/>
    <w:rsid w:val="003F6CBD"/>
    <w:rsid w:val="004000E8"/>
    <w:rsid w:val="00400695"/>
    <w:rsid w:val="00400DCC"/>
    <w:rsid w:val="0040154B"/>
    <w:rsid w:val="0040212F"/>
    <w:rsid w:val="00402E2B"/>
    <w:rsid w:val="00403113"/>
    <w:rsid w:val="0040401D"/>
    <w:rsid w:val="00404910"/>
    <w:rsid w:val="00404C4D"/>
    <w:rsid w:val="0040512B"/>
    <w:rsid w:val="00405CA5"/>
    <w:rsid w:val="00406C2C"/>
    <w:rsid w:val="00406D3A"/>
    <w:rsid w:val="00406FB1"/>
    <w:rsid w:val="004073FC"/>
    <w:rsid w:val="00407CD3"/>
    <w:rsid w:val="00407F25"/>
    <w:rsid w:val="00410134"/>
    <w:rsid w:val="00410381"/>
    <w:rsid w:val="00410B72"/>
    <w:rsid w:val="00410F18"/>
    <w:rsid w:val="0041129C"/>
    <w:rsid w:val="0041263E"/>
    <w:rsid w:val="00412B35"/>
    <w:rsid w:val="00412C52"/>
    <w:rsid w:val="00413AAC"/>
    <w:rsid w:val="00415A5F"/>
    <w:rsid w:val="00416398"/>
    <w:rsid w:val="00417A29"/>
    <w:rsid w:val="00420BE0"/>
    <w:rsid w:val="00421105"/>
    <w:rsid w:val="00423906"/>
    <w:rsid w:val="00423A3C"/>
    <w:rsid w:val="00423B38"/>
    <w:rsid w:val="00424205"/>
    <w:rsid w:val="004242F4"/>
    <w:rsid w:val="0042539C"/>
    <w:rsid w:val="004256E5"/>
    <w:rsid w:val="00426545"/>
    <w:rsid w:val="00427248"/>
    <w:rsid w:val="00430FE5"/>
    <w:rsid w:val="00433034"/>
    <w:rsid w:val="0043314D"/>
    <w:rsid w:val="00435125"/>
    <w:rsid w:val="00436219"/>
    <w:rsid w:val="00437143"/>
    <w:rsid w:val="00437447"/>
    <w:rsid w:val="004374B4"/>
    <w:rsid w:val="004374F2"/>
    <w:rsid w:val="00437FF2"/>
    <w:rsid w:val="00441446"/>
    <w:rsid w:val="00441A92"/>
    <w:rsid w:val="00441DB9"/>
    <w:rsid w:val="00441FE8"/>
    <w:rsid w:val="004421A3"/>
    <w:rsid w:val="00443298"/>
    <w:rsid w:val="00443CBA"/>
    <w:rsid w:val="0044423E"/>
    <w:rsid w:val="00444F56"/>
    <w:rsid w:val="004463C5"/>
    <w:rsid w:val="00446488"/>
    <w:rsid w:val="00446538"/>
    <w:rsid w:val="00446A32"/>
    <w:rsid w:val="0045099B"/>
    <w:rsid w:val="00450B9D"/>
    <w:rsid w:val="004517AA"/>
    <w:rsid w:val="00452CAC"/>
    <w:rsid w:val="00454444"/>
    <w:rsid w:val="00455BF1"/>
    <w:rsid w:val="00456513"/>
    <w:rsid w:val="00457565"/>
    <w:rsid w:val="00457B71"/>
    <w:rsid w:val="00457B7D"/>
    <w:rsid w:val="004617EC"/>
    <w:rsid w:val="004634D9"/>
    <w:rsid w:val="00463A4C"/>
    <w:rsid w:val="00465CF6"/>
    <w:rsid w:val="004669E2"/>
    <w:rsid w:val="00470C31"/>
    <w:rsid w:val="00470CD9"/>
    <w:rsid w:val="0047109C"/>
    <w:rsid w:val="00473125"/>
    <w:rsid w:val="00473293"/>
    <w:rsid w:val="004734D0"/>
    <w:rsid w:val="0047364C"/>
    <w:rsid w:val="00473AD4"/>
    <w:rsid w:val="00474412"/>
    <w:rsid w:val="0047556B"/>
    <w:rsid w:val="00476F7F"/>
    <w:rsid w:val="00477753"/>
    <w:rsid w:val="00477768"/>
    <w:rsid w:val="00477A6D"/>
    <w:rsid w:val="00477E90"/>
    <w:rsid w:val="004818A8"/>
    <w:rsid w:val="00481F49"/>
    <w:rsid w:val="00482538"/>
    <w:rsid w:val="00482FEA"/>
    <w:rsid w:val="00484447"/>
    <w:rsid w:val="004844EB"/>
    <w:rsid w:val="00484828"/>
    <w:rsid w:val="00484C6C"/>
    <w:rsid w:val="00485A5B"/>
    <w:rsid w:val="00487023"/>
    <w:rsid w:val="00487C37"/>
    <w:rsid w:val="0049263A"/>
    <w:rsid w:val="00492BC5"/>
    <w:rsid w:val="004939E0"/>
    <w:rsid w:val="00493FBA"/>
    <w:rsid w:val="00494270"/>
    <w:rsid w:val="00494559"/>
    <w:rsid w:val="00494A5E"/>
    <w:rsid w:val="004959B9"/>
    <w:rsid w:val="004961C3"/>
    <w:rsid w:val="004964F1"/>
    <w:rsid w:val="0049673D"/>
    <w:rsid w:val="00497115"/>
    <w:rsid w:val="004A16BC"/>
    <w:rsid w:val="004A1DB2"/>
    <w:rsid w:val="004A2523"/>
    <w:rsid w:val="004A2B94"/>
    <w:rsid w:val="004A3C93"/>
    <w:rsid w:val="004A5250"/>
    <w:rsid w:val="004A66B7"/>
    <w:rsid w:val="004B1462"/>
    <w:rsid w:val="004B1906"/>
    <w:rsid w:val="004B26F8"/>
    <w:rsid w:val="004B2C0E"/>
    <w:rsid w:val="004B2DBC"/>
    <w:rsid w:val="004B348E"/>
    <w:rsid w:val="004B3531"/>
    <w:rsid w:val="004B3AAF"/>
    <w:rsid w:val="004B48ED"/>
    <w:rsid w:val="004B51DE"/>
    <w:rsid w:val="004B5F88"/>
    <w:rsid w:val="004B61DD"/>
    <w:rsid w:val="004B685C"/>
    <w:rsid w:val="004B7AC9"/>
    <w:rsid w:val="004B7C0C"/>
    <w:rsid w:val="004C038C"/>
    <w:rsid w:val="004C0B69"/>
    <w:rsid w:val="004C1C13"/>
    <w:rsid w:val="004C3898"/>
    <w:rsid w:val="004C3C78"/>
    <w:rsid w:val="004C704B"/>
    <w:rsid w:val="004D15D0"/>
    <w:rsid w:val="004D2039"/>
    <w:rsid w:val="004D272D"/>
    <w:rsid w:val="004D2843"/>
    <w:rsid w:val="004D36B1"/>
    <w:rsid w:val="004D43FC"/>
    <w:rsid w:val="004D4B44"/>
    <w:rsid w:val="004D535D"/>
    <w:rsid w:val="004D63B7"/>
    <w:rsid w:val="004D7EBD"/>
    <w:rsid w:val="004E16EB"/>
    <w:rsid w:val="004E1DB3"/>
    <w:rsid w:val="004E2680"/>
    <w:rsid w:val="004E26DA"/>
    <w:rsid w:val="004E28F9"/>
    <w:rsid w:val="004E2D26"/>
    <w:rsid w:val="004E3414"/>
    <w:rsid w:val="004E462E"/>
    <w:rsid w:val="004E55C5"/>
    <w:rsid w:val="004E56DC"/>
    <w:rsid w:val="004E614B"/>
    <w:rsid w:val="004E76F4"/>
    <w:rsid w:val="004E7ADC"/>
    <w:rsid w:val="004F0B4E"/>
    <w:rsid w:val="004F0B6C"/>
    <w:rsid w:val="004F0FA0"/>
    <w:rsid w:val="004F2078"/>
    <w:rsid w:val="004F26FC"/>
    <w:rsid w:val="004F3A3C"/>
    <w:rsid w:val="004F4DA3"/>
    <w:rsid w:val="004F51B1"/>
    <w:rsid w:val="004F5C96"/>
    <w:rsid w:val="004F66A4"/>
    <w:rsid w:val="004F6E06"/>
    <w:rsid w:val="004F7935"/>
    <w:rsid w:val="0050096E"/>
    <w:rsid w:val="005015AB"/>
    <w:rsid w:val="0050217A"/>
    <w:rsid w:val="00502204"/>
    <w:rsid w:val="0050285F"/>
    <w:rsid w:val="005032F8"/>
    <w:rsid w:val="00505569"/>
    <w:rsid w:val="00506531"/>
    <w:rsid w:val="00506557"/>
    <w:rsid w:val="0050677A"/>
    <w:rsid w:val="005068AC"/>
    <w:rsid w:val="00507587"/>
    <w:rsid w:val="005077AB"/>
    <w:rsid w:val="005079E4"/>
    <w:rsid w:val="005107DB"/>
    <w:rsid w:val="005108D8"/>
    <w:rsid w:val="0051093C"/>
    <w:rsid w:val="005116F9"/>
    <w:rsid w:val="005134E2"/>
    <w:rsid w:val="00513E49"/>
    <w:rsid w:val="00514DB7"/>
    <w:rsid w:val="00514E43"/>
    <w:rsid w:val="005153A7"/>
    <w:rsid w:val="00515422"/>
    <w:rsid w:val="00516E50"/>
    <w:rsid w:val="00520050"/>
    <w:rsid w:val="00520683"/>
    <w:rsid w:val="00521276"/>
    <w:rsid w:val="005219CF"/>
    <w:rsid w:val="00521D5C"/>
    <w:rsid w:val="005222B0"/>
    <w:rsid w:val="0052372C"/>
    <w:rsid w:val="00525169"/>
    <w:rsid w:val="005253FA"/>
    <w:rsid w:val="0052549C"/>
    <w:rsid w:val="005257CE"/>
    <w:rsid w:val="0052581B"/>
    <w:rsid w:val="005259EB"/>
    <w:rsid w:val="005276CA"/>
    <w:rsid w:val="00530FFD"/>
    <w:rsid w:val="00531537"/>
    <w:rsid w:val="00531852"/>
    <w:rsid w:val="00531ABB"/>
    <w:rsid w:val="00531DDD"/>
    <w:rsid w:val="00531E66"/>
    <w:rsid w:val="00532738"/>
    <w:rsid w:val="00532D5E"/>
    <w:rsid w:val="00533E31"/>
    <w:rsid w:val="00534B53"/>
    <w:rsid w:val="00534B59"/>
    <w:rsid w:val="00535C9C"/>
    <w:rsid w:val="00536018"/>
    <w:rsid w:val="0053610C"/>
    <w:rsid w:val="00536759"/>
    <w:rsid w:val="00537349"/>
    <w:rsid w:val="00537C62"/>
    <w:rsid w:val="00540FF2"/>
    <w:rsid w:val="0054205F"/>
    <w:rsid w:val="00542E84"/>
    <w:rsid w:val="005436F5"/>
    <w:rsid w:val="00543D65"/>
    <w:rsid w:val="005440FF"/>
    <w:rsid w:val="00544B3E"/>
    <w:rsid w:val="005463B1"/>
    <w:rsid w:val="00546970"/>
    <w:rsid w:val="00547F4D"/>
    <w:rsid w:val="00550419"/>
    <w:rsid w:val="005507E7"/>
    <w:rsid w:val="005508D1"/>
    <w:rsid w:val="00550CE1"/>
    <w:rsid w:val="0055173A"/>
    <w:rsid w:val="00552E6C"/>
    <w:rsid w:val="005536E6"/>
    <w:rsid w:val="005544B3"/>
    <w:rsid w:val="00554E19"/>
    <w:rsid w:val="005557BD"/>
    <w:rsid w:val="00556189"/>
    <w:rsid w:val="00557265"/>
    <w:rsid w:val="00557B17"/>
    <w:rsid w:val="0056121F"/>
    <w:rsid w:val="00561415"/>
    <w:rsid w:val="005618D4"/>
    <w:rsid w:val="0056652E"/>
    <w:rsid w:val="00566637"/>
    <w:rsid w:val="00566D62"/>
    <w:rsid w:val="00566EB4"/>
    <w:rsid w:val="005672A2"/>
    <w:rsid w:val="00567D43"/>
    <w:rsid w:val="0057180C"/>
    <w:rsid w:val="00572505"/>
    <w:rsid w:val="00572E2D"/>
    <w:rsid w:val="00573D51"/>
    <w:rsid w:val="005745AE"/>
    <w:rsid w:val="00574AE4"/>
    <w:rsid w:val="005754FB"/>
    <w:rsid w:val="0057624C"/>
    <w:rsid w:val="0057703B"/>
    <w:rsid w:val="00577C6B"/>
    <w:rsid w:val="0058242F"/>
    <w:rsid w:val="00582809"/>
    <w:rsid w:val="00583304"/>
    <w:rsid w:val="00583765"/>
    <w:rsid w:val="00583CE8"/>
    <w:rsid w:val="00583D65"/>
    <w:rsid w:val="005855F0"/>
    <w:rsid w:val="0058566C"/>
    <w:rsid w:val="00585B1B"/>
    <w:rsid w:val="00586264"/>
    <w:rsid w:val="0058750B"/>
    <w:rsid w:val="0058798C"/>
    <w:rsid w:val="005900FA"/>
    <w:rsid w:val="00590780"/>
    <w:rsid w:val="00590ED8"/>
    <w:rsid w:val="0059164C"/>
    <w:rsid w:val="005935A4"/>
    <w:rsid w:val="00593847"/>
    <w:rsid w:val="00593BDF"/>
    <w:rsid w:val="005948C2"/>
    <w:rsid w:val="00594AC2"/>
    <w:rsid w:val="00595DCA"/>
    <w:rsid w:val="0059605F"/>
    <w:rsid w:val="00596CE5"/>
    <w:rsid w:val="0059779B"/>
    <w:rsid w:val="005A1017"/>
    <w:rsid w:val="005A10C0"/>
    <w:rsid w:val="005A1D77"/>
    <w:rsid w:val="005A209A"/>
    <w:rsid w:val="005A26CF"/>
    <w:rsid w:val="005A2DFD"/>
    <w:rsid w:val="005A335E"/>
    <w:rsid w:val="005A3CF0"/>
    <w:rsid w:val="005A5829"/>
    <w:rsid w:val="005A662D"/>
    <w:rsid w:val="005A6C3F"/>
    <w:rsid w:val="005A731D"/>
    <w:rsid w:val="005A736D"/>
    <w:rsid w:val="005A7DE7"/>
    <w:rsid w:val="005B119C"/>
    <w:rsid w:val="005B2734"/>
    <w:rsid w:val="005B2EE8"/>
    <w:rsid w:val="005B35D7"/>
    <w:rsid w:val="005B392A"/>
    <w:rsid w:val="005B3AA3"/>
    <w:rsid w:val="005B4700"/>
    <w:rsid w:val="005B50F7"/>
    <w:rsid w:val="005B5C8C"/>
    <w:rsid w:val="005B6B24"/>
    <w:rsid w:val="005B6F83"/>
    <w:rsid w:val="005B7290"/>
    <w:rsid w:val="005C30A7"/>
    <w:rsid w:val="005C411C"/>
    <w:rsid w:val="005C4605"/>
    <w:rsid w:val="005C584E"/>
    <w:rsid w:val="005C5CD4"/>
    <w:rsid w:val="005C5FE0"/>
    <w:rsid w:val="005C6445"/>
    <w:rsid w:val="005C74FB"/>
    <w:rsid w:val="005D0625"/>
    <w:rsid w:val="005D0736"/>
    <w:rsid w:val="005D1021"/>
    <w:rsid w:val="005D1602"/>
    <w:rsid w:val="005D23E5"/>
    <w:rsid w:val="005D2C06"/>
    <w:rsid w:val="005D5AE9"/>
    <w:rsid w:val="005D653E"/>
    <w:rsid w:val="005D723C"/>
    <w:rsid w:val="005D7E07"/>
    <w:rsid w:val="005D7F1F"/>
    <w:rsid w:val="005E067A"/>
    <w:rsid w:val="005E0D16"/>
    <w:rsid w:val="005E2F8D"/>
    <w:rsid w:val="005E33E5"/>
    <w:rsid w:val="005E385F"/>
    <w:rsid w:val="005E3AB9"/>
    <w:rsid w:val="005E53AB"/>
    <w:rsid w:val="005E5B81"/>
    <w:rsid w:val="005E6112"/>
    <w:rsid w:val="005E7550"/>
    <w:rsid w:val="005E75AD"/>
    <w:rsid w:val="005F0756"/>
    <w:rsid w:val="005F15D8"/>
    <w:rsid w:val="005F2CB1"/>
    <w:rsid w:val="005F2D22"/>
    <w:rsid w:val="005F3025"/>
    <w:rsid w:val="005F31FE"/>
    <w:rsid w:val="005F33E8"/>
    <w:rsid w:val="005F4799"/>
    <w:rsid w:val="005F514A"/>
    <w:rsid w:val="005F5162"/>
    <w:rsid w:val="005F618C"/>
    <w:rsid w:val="005F7097"/>
    <w:rsid w:val="005F70BD"/>
    <w:rsid w:val="005F735B"/>
    <w:rsid w:val="005F76F0"/>
    <w:rsid w:val="005F7D1C"/>
    <w:rsid w:val="00600BCF"/>
    <w:rsid w:val="00601EEB"/>
    <w:rsid w:val="0060283C"/>
    <w:rsid w:val="00602B8E"/>
    <w:rsid w:val="00604F14"/>
    <w:rsid w:val="006052B6"/>
    <w:rsid w:val="00606C1B"/>
    <w:rsid w:val="00606E26"/>
    <w:rsid w:val="006074FC"/>
    <w:rsid w:val="00610105"/>
    <w:rsid w:val="006104B8"/>
    <w:rsid w:val="006115DA"/>
    <w:rsid w:val="00611A0F"/>
    <w:rsid w:val="00611B83"/>
    <w:rsid w:val="00612307"/>
    <w:rsid w:val="0061279F"/>
    <w:rsid w:val="00613257"/>
    <w:rsid w:val="006139BE"/>
    <w:rsid w:val="00614DD5"/>
    <w:rsid w:val="00614FD0"/>
    <w:rsid w:val="006177F4"/>
    <w:rsid w:val="00617FAD"/>
    <w:rsid w:val="00620A71"/>
    <w:rsid w:val="00620D80"/>
    <w:rsid w:val="006212A9"/>
    <w:rsid w:val="00621970"/>
    <w:rsid w:val="00622890"/>
    <w:rsid w:val="006234A6"/>
    <w:rsid w:val="0062422E"/>
    <w:rsid w:val="00624348"/>
    <w:rsid w:val="00625256"/>
    <w:rsid w:val="00625FEC"/>
    <w:rsid w:val="00626333"/>
    <w:rsid w:val="006279C9"/>
    <w:rsid w:val="00630001"/>
    <w:rsid w:val="006303BF"/>
    <w:rsid w:val="00630C1A"/>
    <w:rsid w:val="006311B3"/>
    <w:rsid w:val="00631C17"/>
    <w:rsid w:val="0063235B"/>
    <w:rsid w:val="0063284C"/>
    <w:rsid w:val="00633DD0"/>
    <w:rsid w:val="00633FC4"/>
    <w:rsid w:val="00634870"/>
    <w:rsid w:val="006354D7"/>
    <w:rsid w:val="00636398"/>
    <w:rsid w:val="006368D3"/>
    <w:rsid w:val="006377EC"/>
    <w:rsid w:val="00640069"/>
    <w:rsid w:val="006405D3"/>
    <w:rsid w:val="0064151F"/>
    <w:rsid w:val="00641533"/>
    <w:rsid w:val="00641B9A"/>
    <w:rsid w:val="0064208D"/>
    <w:rsid w:val="006420FE"/>
    <w:rsid w:val="00643475"/>
    <w:rsid w:val="00643745"/>
    <w:rsid w:val="0064379B"/>
    <w:rsid w:val="006438C7"/>
    <w:rsid w:val="0064396A"/>
    <w:rsid w:val="00644E49"/>
    <w:rsid w:val="0064511F"/>
    <w:rsid w:val="0064624E"/>
    <w:rsid w:val="006464D7"/>
    <w:rsid w:val="00646FBB"/>
    <w:rsid w:val="00647386"/>
    <w:rsid w:val="00647509"/>
    <w:rsid w:val="00647E9F"/>
    <w:rsid w:val="00650110"/>
    <w:rsid w:val="00650AB9"/>
    <w:rsid w:val="00651C5D"/>
    <w:rsid w:val="006521FA"/>
    <w:rsid w:val="006545FA"/>
    <w:rsid w:val="006550F5"/>
    <w:rsid w:val="00655733"/>
    <w:rsid w:val="00655ACD"/>
    <w:rsid w:val="00656A92"/>
    <w:rsid w:val="00656DDE"/>
    <w:rsid w:val="0066011D"/>
    <w:rsid w:val="00660340"/>
    <w:rsid w:val="006607C0"/>
    <w:rsid w:val="0066104C"/>
    <w:rsid w:val="006613A6"/>
    <w:rsid w:val="006619CC"/>
    <w:rsid w:val="006621CA"/>
    <w:rsid w:val="00662316"/>
    <w:rsid w:val="006627A2"/>
    <w:rsid w:val="006634E6"/>
    <w:rsid w:val="0066361C"/>
    <w:rsid w:val="006655EE"/>
    <w:rsid w:val="00665680"/>
    <w:rsid w:val="006664AE"/>
    <w:rsid w:val="00666932"/>
    <w:rsid w:val="00667070"/>
    <w:rsid w:val="00667EE7"/>
    <w:rsid w:val="00670380"/>
    <w:rsid w:val="00670922"/>
    <w:rsid w:val="00670BE1"/>
    <w:rsid w:val="00672140"/>
    <w:rsid w:val="0067218F"/>
    <w:rsid w:val="00672D43"/>
    <w:rsid w:val="00674008"/>
    <w:rsid w:val="006741F2"/>
    <w:rsid w:val="00674CC3"/>
    <w:rsid w:val="00675079"/>
    <w:rsid w:val="00675C72"/>
    <w:rsid w:val="006771F9"/>
    <w:rsid w:val="006773B0"/>
    <w:rsid w:val="006773C5"/>
    <w:rsid w:val="006776D7"/>
    <w:rsid w:val="00681003"/>
    <w:rsid w:val="006813C8"/>
    <w:rsid w:val="006817C9"/>
    <w:rsid w:val="00682655"/>
    <w:rsid w:val="00683695"/>
    <w:rsid w:val="00683ECE"/>
    <w:rsid w:val="006854D9"/>
    <w:rsid w:val="00687D46"/>
    <w:rsid w:val="0069260E"/>
    <w:rsid w:val="006939A7"/>
    <w:rsid w:val="00693EDB"/>
    <w:rsid w:val="00695685"/>
    <w:rsid w:val="00695D20"/>
    <w:rsid w:val="00695FC2"/>
    <w:rsid w:val="0069683F"/>
    <w:rsid w:val="00696949"/>
    <w:rsid w:val="00696B8C"/>
    <w:rsid w:val="00696E4F"/>
    <w:rsid w:val="00697052"/>
    <w:rsid w:val="0069710C"/>
    <w:rsid w:val="006A1BE0"/>
    <w:rsid w:val="006A2C09"/>
    <w:rsid w:val="006A3973"/>
    <w:rsid w:val="006A3EC1"/>
    <w:rsid w:val="006A401E"/>
    <w:rsid w:val="006A4423"/>
    <w:rsid w:val="006A46FB"/>
    <w:rsid w:val="006A548B"/>
    <w:rsid w:val="006A5E28"/>
    <w:rsid w:val="006A697B"/>
    <w:rsid w:val="006A6FA6"/>
    <w:rsid w:val="006A72A6"/>
    <w:rsid w:val="006A7AFF"/>
    <w:rsid w:val="006A7B3B"/>
    <w:rsid w:val="006B10F9"/>
    <w:rsid w:val="006B1816"/>
    <w:rsid w:val="006B19B6"/>
    <w:rsid w:val="006B2099"/>
    <w:rsid w:val="006B234A"/>
    <w:rsid w:val="006B347E"/>
    <w:rsid w:val="006B34AF"/>
    <w:rsid w:val="006B43AC"/>
    <w:rsid w:val="006B50CF"/>
    <w:rsid w:val="006B57AC"/>
    <w:rsid w:val="006B5B0F"/>
    <w:rsid w:val="006B676A"/>
    <w:rsid w:val="006B6D01"/>
    <w:rsid w:val="006B79A4"/>
    <w:rsid w:val="006C0219"/>
    <w:rsid w:val="006C03B8"/>
    <w:rsid w:val="006C0F92"/>
    <w:rsid w:val="006C1D4B"/>
    <w:rsid w:val="006C2764"/>
    <w:rsid w:val="006C2B76"/>
    <w:rsid w:val="006C3B88"/>
    <w:rsid w:val="006C3C95"/>
    <w:rsid w:val="006C3D00"/>
    <w:rsid w:val="006C4529"/>
    <w:rsid w:val="006C4866"/>
    <w:rsid w:val="006C5EC9"/>
    <w:rsid w:val="006C6059"/>
    <w:rsid w:val="006C6433"/>
    <w:rsid w:val="006C716E"/>
    <w:rsid w:val="006C7522"/>
    <w:rsid w:val="006D0734"/>
    <w:rsid w:val="006D155A"/>
    <w:rsid w:val="006D211D"/>
    <w:rsid w:val="006D26EB"/>
    <w:rsid w:val="006D2966"/>
    <w:rsid w:val="006D46F4"/>
    <w:rsid w:val="006D4E25"/>
    <w:rsid w:val="006D58E2"/>
    <w:rsid w:val="006D603D"/>
    <w:rsid w:val="006D61D7"/>
    <w:rsid w:val="006D6CB0"/>
    <w:rsid w:val="006D6F08"/>
    <w:rsid w:val="006D6F24"/>
    <w:rsid w:val="006E0457"/>
    <w:rsid w:val="006E062C"/>
    <w:rsid w:val="006E0835"/>
    <w:rsid w:val="006E0F96"/>
    <w:rsid w:val="006E10B7"/>
    <w:rsid w:val="006E1EBB"/>
    <w:rsid w:val="006E28B7"/>
    <w:rsid w:val="006E3310"/>
    <w:rsid w:val="006E3E58"/>
    <w:rsid w:val="006E4E39"/>
    <w:rsid w:val="006E5225"/>
    <w:rsid w:val="006E565E"/>
    <w:rsid w:val="006E5BCC"/>
    <w:rsid w:val="006E6007"/>
    <w:rsid w:val="006E673D"/>
    <w:rsid w:val="006E7D3B"/>
    <w:rsid w:val="006E7DDC"/>
    <w:rsid w:val="006F0B1D"/>
    <w:rsid w:val="006F136B"/>
    <w:rsid w:val="006F1B70"/>
    <w:rsid w:val="006F2D11"/>
    <w:rsid w:val="006F341D"/>
    <w:rsid w:val="006F3CDE"/>
    <w:rsid w:val="006F4331"/>
    <w:rsid w:val="006F47FA"/>
    <w:rsid w:val="006F56F5"/>
    <w:rsid w:val="006F58D4"/>
    <w:rsid w:val="006F6818"/>
    <w:rsid w:val="006F6BF6"/>
    <w:rsid w:val="006F78DC"/>
    <w:rsid w:val="00701069"/>
    <w:rsid w:val="00701D34"/>
    <w:rsid w:val="0070279F"/>
    <w:rsid w:val="0070346E"/>
    <w:rsid w:val="00704024"/>
    <w:rsid w:val="00704DC4"/>
    <w:rsid w:val="00704EDB"/>
    <w:rsid w:val="00705819"/>
    <w:rsid w:val="00706101"/>
    <w:rsid w:val="007064D8"/>
    <w:rsid w:val="0070678F"/>
    <w:rsid w:val="00707072"/>
    <w:rsid w:val="007072F2"/>
    <w:rsid w:val="007077ED"/>
    <w:rsid w:val="00707D61"/>
    <w:rsid w:val="007113AB"/>
    <w:rsid w:val="00711D19"/>
    <w:rsid w:val="00712287"/>
    <w:rsid w:val="0071259C"/>
    <w:rsid w:val="00712772"/>
    <w:rsid w:val="007128CD"/>
    <w:rsid w:val="00713173"/>
    <w:rsid w:val="007142A4"/>
    <w:rsid w:val="007148D3"/>
    <w:rsid w:val="00715B9A"/>
    <w:rsid w:val="00717C1B"/>
    <w:rsid w:val="00721238"/>
    <w:rsid w:val="00725DEA"/>
    <w:rsid w:val="0072612F"/>
    <w:rsid w:val="007267E1"/>
    <w:rsid w:val="00726EA6"/>
    <w:rsid w:val="00726EFB"/>
    <w:rsid w:val="00727208"/>
    <w:rsid w:val="007274DC"/>
    <w:rsid w:val="00727650"/>
    <w:rsid w:val="00727680"/>
    <w:rsid w:val="0073043C"/>
    <w:rsid w:val="007304DA"/>
    <w:rsid w:val="00730518"/>
    <w:rsid w:val="00732461"/>
    <w:rsid w:val="00732A70"/>
    <w:rsid w:val="00732F2C"/>
    <w:rsid w:val="0073392C"/>
    <w:rsid w:val="00733D62"/>
    <w:rsid w:val="00734141"/>
    <w:rsid w:val="007348B1"/>
    <w:rsid w:val="007352D9"/>
    <w:rsid w:val="007355F9"/>
    <w:rsid w:val="007359D6"/>
    <w:rsid w:val="00735A9C"/>
    <w:rsid w:val="00735B94"/>
    <w:rsid w:val="007362A6"/>
    <w:rsid w:val="00736D7D"/>
    <w:rsid w:val="00737D4B"/>
    <w:rsid w:val="00740033"/>
    <w:rsid w:val="0074029B"/>
    <w:rsid w:val="00740773"/>
    <w:rsid w:val="00740E58"/>
    <w:rsid w:val="00741381"/>
    <w:rsid w:val="00741CCC"/>
    <w:rsid w:val="00742B10"/>
    <w:rsid w:val="00742F51"/>
    <w:rsid w:val="007434B0"/>
    <w:rsid w:val="00743A45"/>
    <w:rsid w:val="00743B74"/>
    <w:rsid w:val="007443C5"/>
    <w:rsid w:val="007445A0"/>
    <w:rsid w:val="00744BA6"/>
    <w:rsid w:val="0074524B"/>
    <w:rsid w:val="00746961"/>
    <w:rsid w:val="00747D8B"/>
    <w:rsid w:val="007511BE"/>
    <w:rsid w:val="00751228"/>
    <w:rsid w:val="00752F81"/>
    <w:rsid w:val="0075394B"/>
    <w:rsid w:val="0075427B"/>
    <w:rsid w:val="00754507"/>
    <w:rsid w:val="00755667"/>
    <w:rsid w:val="007571E1"/>
    <w:rsid w:val="00757591"/>
    <w:rsid w:val="007577B6"/>
    <w:rsid w:val="0076022E"/>
    <w:rsid w:val="007604B2"/>
    <w:rsid w:val="007609D1"/>
    <w:rsid w:val="00761C19"/>
    <w:rsid w:val="00761DBA"/>
    <w:rsid w:val="00762311"/>
    <w:rsid w:val="007628AF"/>
    <w:rsid w:val="0076294B"/>
    <w:rsid w:val="00762CCF"/>
    <w:rsid w:val="00762E3F"/>
    <w:rsid w:val="007630C8"/>
    <w:rsid w:val="00763259"/>
    <w:rsid w:val="00763A33"/>
    <w:rsid w:val="00763ABF"/>
    <w:rsid w:val="00765281"/>
    <w:rsid w:val="00765301"/>
    <w:rsid w:val="007656A7"/>
    <w:rsid w:val="0076680B"/>
    <w:rsid w:val="00766BAD"/>
    <w:rsid w:val="00767000"/>
    <w:rsid w:val="007671A1"/>
    <w:rsid w:val="0076766E"/>
    <w:rsid w:val="00767E7A"/>
    <w:rsid w:val="00770919"/>
    <w:rsid w:val="0077133F"/>
    <w:rsid w:val="00771F21"/>
    <w:rsid w:val="00772627"/>
    <w:rsid w:val="00772B12"/>
    <w:rsid w:val="00772DEC"/>
    <w:rsid w:val="00772FBF"/>
    <w:rsid w:val="007730BD"/>
    <w:rsid w:val="00774750"/>
    <w:rsid w:val="007755F2"/>
    <w:rsid w:val="0077652D"/>
    <w:rsid w:val="00776971"/>
    <w:rsid w:val="00780BB9"/>
    <w:rsid w:val="00780D4F"/>
    <w:rsid w:val="00780E08"/>
    <w:rsid w:val="007810CD"/>
    <w:rsid w:val="0078160E"/>
    <w:rsid w:val="0078177E"/>
    <w:rsid w:val="007824D7"/>
    <w:rsid w:val="007825F9"/>
    <w:rsid w:val="00782DC0"/>
    <w:rsid w:val="0078304C"/>
    <w:rsid w:val="00783673"/>
    <w:rsid w:val="00783710"/>
    <w:rsid w:val="00783CCB"/>
    <w:rsid w:val="00783CEB"/>
    <w:rsid w:val="007846DA"/>
    <w:rsid w:val="0078472A"/>
    <w:rsid w:val="007847EB"/>
    <w:rsid w:val="00784810"/>
    <w:rsid w:val="00784A46"/>
    <w:rsid w:val="00785490"/>
    <w:rsid w:val="0078718B"/>
    <w:rsid w:val="00787A17"/>
    <w:rsid w:val="00787AA5"/>
    <w:rsid w:val="00790F79"/>
    <w:rsid w:val="007918DC"/>
    <w:rsid w:val="00792051"/>
    <w:rsid w:val="007925EA"/>
    <w:rsid w:val="007926FD"/>
    <w:rsid w:val="00792D64"/>
    <w:rsid w:val="00793CD8"/>
    <w:rsid w:val="00793D87"/>
    <w:rsid w:val="007941B1"/>
    <w:rsid w:val="007944D6"/>
    <w:rsid w:val="007956B7"/>
    <w:rsid w:val="00795C92"/>
    <w:rsid w:val="00796231"/>
    <w:rsid w:val="007A0279"/>
    <w:rsid w:val="007A0348"/>
    <w:rsid w:val="007A195B"/>
    <w:rsid w:val="007A1CB3"/>
    <w:rsid w:val="007A2766"/>
    <w:rsid w:val="007A2931"/>
    <w:rsid w:val="007A306F"/>
    <w:rsid w:val="007A3808"/>
    <w:rsid w:val="007A3AE2"/>
    <w:rsid w:val="007A41DE"/>
    <w:rsid w:val="007A43A6"/>
    <w:rsid w:val="007A5841"/>
    <w:rsid w:val="007A58A6"/>
    <w:rsid w:val="007A6A88"/>
    <w:rsid w:val="007A6EC4"/>
    <w:rsid w:val="007A7D16"/>
    <w:rsid w:val="007A7ED6"/>
    <w:rsid w:val="007B1040"/>
    <w:rsid w:val="007B104F"/>
    <w:rsid w:val="007B13F3"/>
    <w:rsid w:val="007B1965"/>
    <w:rsid w:val="007B2F7B"/>
    <w:rsid w:val="007B30D3"/>
    <w:rsid w:val="007B3D2D"/>
    <w:rsid w:val="007B3DD3"/>
    <w:rsid w:val="007B50AE"/>
    <w:rsid w:val="007B51DF"/>
    <w:rsid w:val="007B6ADC"/>
    <w:rsid w:val="007B741D"/>
    <w:rsid w:val="007B797E"/>
    <w:rsid w:val="007C05D3"/>
    <w:rsid w:val="007C05DD"/>
    <w:rsid w:val="007C2094"/>
    <w:rsid w:val="007C2B1D"/>
    <w:rsid w:val="007C3D18"/>
    <w:rsid w:val="007C3E70"/>
    <w:rsid w:val="007C4B77"/>
    <w:rsid w:val="007C5598"/>
    <w:rsid w:val="007C5CE9"/>
    <w:rsid w:val="007C5E43"/>
    <w:rsid w:val="007C60BF"/>
    <w:rsid w:val="007C61AF"/>
    <w:rsid w:val="007C6A07"/>
    <w:rsid w:val="007C75A1"/>
    <w:rsid w:val="007C77A5"/>
    <w:rsid w:val="007D04E5"/>
    <w:rsid w:val="007D31CE"/>
    <w:rsid w:val="007D3377"/>
    <w:rsid w:val="007D533D"/>
    <w:rsid w:val="007D56E8"/>
    <w:rsid w:val="007D5901"/>
    <w:rsid w:val="007D68FF"/>
    <w:rsid w:val="007D7526"/>
    <w:rsid w:val="007D7B6D"/>
    <w:rsid w:val="007D7D03"/>
    <w:rsid w:val="007D7D2B"/>
    <w:rsid w:val="007E1C59"/>
    <w:rsid w:val="007E2484"/>
    <w:rsid w:val="007E2687"/>
    <w:rsid w:val="007E2C87"/>
    <w:rsid w:val="007E3161"/>
    <w:rsid w:val="007E3E9E"/>
    <w:rsid w:val="007E3F37"/>
    <w:rsid w:val="007E40D0"/>
    <w:rsid w:val="007E4610"/>
    <w:rsid w:val="007E4715"/>
    <w:rsid w:val="007E505B"/>
    <w:rsid w:val="007E5CAA"/>
    <w:rsid w:val="007E6256"/>
    <w:rsid w:val="007E7091"/>
    <w:rsid w:val="007E7928"/>
    <w:rsid w:val="007F01ED"/>
    <w:rsid w:val="007F0647"/>
    <w:rsid w:val="007F1AD4"/>
    <w:rsid w:val="007F2DAF"/>
    <w:rsid w:val="007F30D2"/>
    <w:rsid w:val="007F3ABF"/>
    <w:rsid w:val="007F406C"/>
    <w:rsid w:val="007F4368"/>
    <w:rsid w:val="007F4B2F"/>
    <w:rsid w:val="007F5CAA"/>
    <w:rsid w:val="007F6CBD"/>
    <w:rsid w:val="007F6E23"/>
    <w:rsid w:val="007F7944"/>
    <w:rsid w:val="008018C1"/>
    <w:rsid w:val="00802949"/>
    <w:rsid w:val="00802A62"/>
    <w:rsid w:val="00802C97"/>
    <w:rsid w:val="0080346A"/>
    <w:rsid w:val="008038B7"/>
    <w:rsid w:val="00803E89"/>
    <w:rsid w:val="00803FAE"/>
    <w:rsid w:val="0080605F"/>
    <w:rsid w:val="008075A3"/>
    <w:rsid w:val="00807786"/>
    <w:rsid w:val="00810BBF"/>
    <w:rsid w:val="00811C44"/>
    <w:rsid w:val="00811FCB"/>
    <w:rsid w:val="00812985"/>
    <w:rsid w:val="00812EB7"/>
    <w:rsid w:val="008138B3"/>
    <w:rsid w:val="00814AFE"/>
    <w:rsid w:val="00814B95"/>
    <w:rsid w:val="00815257"/>
    <w:rsid w:val="008158D6"/>
    <w:rsid w:val="0081616E"/>
    <w:rsid w:val="00816F6E"/>
    <w:rsid w:val="00817196"/>
    <w:rsid w:val="008175FD"/>
    <w:rsid w:val="00820A86"/>
    <w:rsid w:val="00820D90"/>
    <w:rsid w:val="008220B0"/>
    <w:rsid w:val="0082232D"/>
    <w:rsid w:val="00822720"/>
    <w:rsid w:val="008235DB"/>
    <w:rsid w:val="00823A8D"/>
    <w:rsid w:val="00823CCC"/>
    <w:rsid w:val="00823E29"/>
    <w:rsid w:val="00824AB4"/>
    <w:rsid w:val="00824B5B"/>
    <w:rsid w:val="008254B6"/>
    <w:rsid w:val="00825C42"/>
    <w:rsid w:val="00825C83"/>
    <w:rsid w:val="00825D25"/>
    <w:rsid w:val="00825E2A"/>
    <w:rsid w:val="00826833"/>
    <w:rsid w:val="00826B51"/>
    <w:rsid w:val="00827598"/>
    <w:rsid w:val="008275C2"/>
    <w:rsid w:val="00827A6A"/>
    <w:rsid w:val="00827D6F"/>
    <w:rsid w:val="008303ED"/>
    <w:rsid w:val="0083091A"/>
    <w:rsid w:val="008309A9"/>
    <w:rsid w:val="00830A16"/>
    <w:rsid w:val="00830A86"/>
    <w:rsid w:val="008312A5"/>
    <w:rsid w:val="008321AE"/>
    <w:rsid w:val="008324B2"/>
    <w:rsid w:val="00832B61"/>
    <w:rsid w:val="008335BB"/>
    <w:rsid w:val="00833E66"/>
    <w:rsid w:val="008348A8"/>
    <w:rsid w:val="008359EA"/>
    <w:rsid w:val="00836193"/>
    <w:rsid w:val="008362C2"/>
    <w:rsid w:val="00836929"/>
    <w:rsid w:val="008376AC"/>
    <w:rsid w:val="00837DF0"/>
    <w:rsid w:val="00840DB1"/>
    <w:rsid w:val="00842059"/>
    <w:rsid w:val="00843BDD"/>
    <w:rsid w:val="008444E8"/>
    <w:rsid w:val="008445F8"/>
    <w:rsid w:val="00844E80"/>
    <w:rsid w:val="00846FE7"/>
    <w:rsid w:val="00850676"/>
    <w:rsid w:val="00850858"/>
    <w:rsid w:val="00850C01"/>
    <w:rsid w:val="00851291"/>
    <w:rsid w:val="0085199F"/>
    <w:rsid w:val="00852356"/>
    <w:rsid w:val="00852B43"/>
    <w:rsid w:val="00852CB5"/>
    <w:rsid w:val="00853628"/>
    <w:rsid w:val="00856911"/>
    <w:rsid w:val="00857023"/>
    <w:rsid w:val="00860B98"/>
    <w:rsid w:val="00862C4C"/>
    <w:rsid w:val="00863034"/>
    <w:rsid w:val="00863FA0"/>
    <w:rsid w:val="00865915"/>
    <w:rsid w:val="00865B0E"/>
    <w:rsid w:val="008667B0"/>
    <w:rsid w:val="00867064"/>
    <w:rsid w:val="0086775E"/>
    <w:rsid w:val="008677FD"/>
    <w:rsid w:val="00867A04"/>
    <w:rsid w:val="00867B20"/>
    <w:rsid w:val="0087002A"/>
    <w:rsid w:val="008706D4"/>
    <w:rsid w:val="00870750"/>
    <w:rsid w:val="00870F8A"/>
    <w:rsid w:val="008719A4"/>
    <w:rsid w:val="00871D23"/>
    <w:rsid w:val="00872030"/>
    <w:rsid w:val="008725E6"/>
    <w:rsid w:val="00872616"/>
    <w:rsid w:val="00872F69"/>
    <w:rsid w:val="008734DA"/>
    <w:rsid w:val="00874312"/>
    <w:rsid w:val="0087437C"/>
    <w:rsid w:val="00874565"/>
    <w:rsid w:val="00874743"/>
    <w:rsid w:val="008747E1"/>
    <w:rsid w:val="008749B6"/>
    <w:rsid w:val="00875122"/>
    <w:rsid w:val="00875126"/>
    <w:rsid w:val="00875CD7"/>
    <w:rsid w:val="00876402"/>
    <w:rsid w:val="0087681D"/>
    <w:rsid w:val="00876B4D"/>
    <w:rsid w:val="00876F6F"/>
    <w:rsid w:val="008776A7"/>
    <w:rsid w:val="00877B86"/>
    <w:rsid w:val="00877BDC"/>
    <w:rsid w:val="00877DB0"/>
    <w:rsid w:val="00877F18"/>
    <w:rsid w:val="00880486"/>
    <w:rsid w:val="00881378"/>
    <w:rsid w:val="00881879"/>
    <w:rsid w:val="0088189C"/>
    <w:rsid w:val="00881B38"/>
    <w:rsid w:val="00882733"/>
    <w:rsid w:val="0088393C"/>
    <w:rsid w:val="008903C6"/>
    <w:rsid w:val="00890498"/>
    <w:rsid w:val="0089053E"/>
    <w:rsid w:val="00891978"/>
    <w:rsid w:val="00891D39"/>
    <w:rsid w:val="008921ED"/>
    <w:rsid w:val="008925C7"/>
    <w:rsid w:val="008926DD"/>
    <w:rsid w:val="00893D67"/>
    <w:rsid w:val="008944F1"/>
    <w:rsid w:val="00894A88"/>
    <w:rsid w:val="00895386"/>
    <w:rsid w:val="00896069"/>
    <w:rsid w:val="00896D45"/>
    <w:rsid w:val="00897A57"/>
    <w:rsid w:val="00897EEB"/>
    <w:rsid w:val="00897EF4"/>
    <w:rsid w:val="008A16EF"/>
    <w:rsid w:val="008A1717"/>
    <w:rsid w:val="008A1812"/>
    <w:rsid w:val="008A21FF"/>
    <w:rsid w:val="008A2CE2"/>
    <w:rsid w:val="008A30AC"/>
    <w:rsid w:val="008A3ACD"/>
    <w:rsid w:val="008A44B8"/>
    <w:rsid w:val="008A4BBB"/>
    <w:rsid w:val="008A5128"/>
    <w:rsid w:val="008A51A8"/>
    <w:rsid w:val="008A54C7"/>
    <w:rsid w:val="008A77D8"/>
    <w:rsid w:val="008A7B39"/>
    <w:rsid w:val="008A7DA2"/>
    <w:rsid w:val="008B0483"/>
    <w:rsid w:val="008B0D6E"/>
    <w:rsid w:val="008B120C"/>
    <w:rsid w:val="008B12E7"/>
    <w:rsid w:val="008B34B4"/>
    <w:rsid w:val="008B3916"/>
    <w:rsid w:val="008B51A0"/>
    <w:rsid w:val="008B592A"/>
    <w:rsid w:val="008B6369"/>
    <w:rsid w:val="008B63ED"/>
    <w:rsid w:val="008B7B5C"/>
    <w:rsid w:val="008B7F82"/>
    <w:rsid w:val="008C0C99"/>
    <w:rsid w:val="008C10D0"/>
    <w:rsid w:val="008C18F8"/>
    <w:rsid w:val="008C2017"/>
    <w:rsid w:val="008C22B2"/>
    <w:rsid w:val="008C3CC5"/>
    <w:rsid w:val="008C3E44"/>
    <w:rsid w:val="008C4958"/>
    <w:rsid w:val="008C4BAA"/>
    <w:rsid w:val="008C5263"/>
    <w:rsid w:val="008C60D0"/>
    <w:rsid w:val="008C6AE8"/>
    <w:rsid w:val="008C7268"/>
    <w:rsid w:val="008C7573"/>
    <w:rsid w:val="008C75D3"/>
    <w:rsid w:val="008C769E"/>
    <w:rsid w:val="008C7C7A"/>
    <w:rsid w:val="008D0475"/>
    <w:rsid w:val="008D10E5"/>
    <w:rsid w:val="008D284F"/>
    <w:rsid w:val="008D34F1"/>
    <w:rsid w:val="008D39D8"/>
    <w:rsid w:val="008D3E22"/>
    <w:rsid w:val="008D5ACA"/>
    <w:rsid w:val="008D5BB5"/>
    <w:rsid w:val="008D5D9C"/>
    <w:rsid w:val="008D6D1A"/>
    <w:rsid w:val="008D6F50"/>
    <w:rsid w:val="008D7D7F"/>
    <w:rsid w:val="008E065E"/>
    <w:rsid w:val="008E0927"/>
    <w:rsid w:val="008E17E6"/>
    <w:rsid w:val="008E1909"/>
    <w:rsid w:val="008E36E0"/>
    <w:rsid w:val="008E4A3F"/>
    <w:rsid w:val="008E596B"/>
    <w:rsid w:val="008E6B39"/>
    <w:rsid w:val="008E7760"/>
    <w:rsid w:val="008E78EE"/>
    <w:rsid w:val="008F0EB6"/>
    <w:rsid w:val="008F1158"/>
    <w:rsid w:val="008F11C5"/>
    <w:rsid w:val="008F1202"/>
    <w:rsid w:val="008F1EAB"/>
    <w:rsid w:val="008F20F3"/>
    <w:rsid w:val="008F2766"/>
    <w:rsid w:val="008F2B37"/>
    <w:rsid w:val="008F2BE9"/>
    <w:rsid w:val="008F33DC"/>
    <w:rsid w:val="008F38FF"/>
    <w:rsid w:val="008F477F"/>
    <w:rsid w:val="008F6C3E"/>
    <w:rsid w:val="008F7255"/>
    <w:rsid w:val="00901253"/>
    <w:rsid w:val="009016DC"/>
    <w:rsid w:val="00902350"/>
    <w:rsid w:val="00903032"/>
    <w:rsid w:val="009032C4"/>
    <w:rsid w:val="0090336B"/>
    <w:rsid w:val="009038DA"/>
    <w:rsid w:val="009053AA"/>
    <w:rsid w:val="00906939"/>
    <w:rsid w:val="00906B35"/>
    <w:rsid w:val="009101ED"/>
    <w:rsid w:val="00910B7D"/>
    <w:rsid w:val="009111F8"/>
    <w:rsid w:val="009115DD"/>
    <w:rsid w:val="00911D8D"/>
    <w:rsid w:val="00911DFB"/>
    <w:rsid w:val="00913251"/>
    <w:rsid w:val="009137D2"/>
    <w:rsid w:val="009139D9"/>
    <w:rsid w:val="0091427A"/>
    <w:rsid w:val="00914AD8"/>
    <w:rsid w:val="009158BA"/>
    <w:rsid w:val="00915D85"/>
    <w:rsid w:val="0091605B"/>
    <w:rsid w:val="00916079"/>
    <w:rsid w:val="00917CE9"/>
    <w:rsid w:val="00920BF2"/>
    <w:rsid w:val="009214C9"/>
    <w:rsid w:val="00922010"/>
    <w:rsid w:val="009220ED"/>
    <w:rsid w:val="00922BBE"/>
    <w:rsid w:val="00923C7D"/>
    <w:rsid w:val="00926BD7"/>
    <w:rsid w:val="009273B4"/>
    <w:rsid w:val="0092755E"/>
    <w:rsid w:val="00927750"/>
    <w:rsid w:val="0092790A"/>
    <w:rsid w:val="009306DC"/>
    <w:rsid w:val="00930A89"/>
    <w:rsid w:val="00930D17"/>
    <w:rsid w:val="00931312"/>
    <w:rsid w:val="00931389"/>
    <w:rsid w:val="00931BD9"/>
    <w:rsid w:val="00932518"/>
    <w:rsid w:val="0093299A"/>
    <w:rsid w:val="00932B5F"/>
    <w:rsid w:val="00934EA8"/>
    <w:rsid w:val="00935634"/>
    <w:rsid w:val="00935C0A"/>
    <w:rsid w:val="00935E7A"/>
    <w:rsid w:val="009367A6"/>
    <w:rsid w:val="009368F3"/>
    <w:rsid w:val="00937CB3"/>
    <w:rsid w:val="0094007B"/>
    <w:rsid w:val="00941576"/>
    <w:rsid w:val="00941636"/>
    <w:rsid w:val="00942064"/>
    <w:rsid w:val="00943742"/>
    <w:rsid w:val="00943808"/>
    <w:rsid w:val="0094578B"/>
    <w:rsid w:val="00945C05"/>
    <w:rsid w:val="00946945"/>
    <w:rsid w:val="00947713"/>
    <w:rsid w:val="00950DE7"/>
    <w:rsid w:val="0095236B"/>
    <w:rsid w:val="0095252B"/>
    <w:rsid w:val="0095278E"/>
    <w:rsid w:val="00952845"/>
    <w:rsid w:val="00953920"/>
    <w:rsid w:val="00953D47"/>
    <w:rsid w:val="00956515"/>
    <w:rsid w:val="0095681E"/>
    <w:rsid w:val="009570B3"/>
    <w:rsid w:val="009572D4"/>
    <w:rsid w:val="00957500"/>
    <w:rsid w:val="00960A87"/>
    <w:rsid w:val="00961849"/>
    <w:rsid w:val="00961921"/>
    <w:rsid w:val="009636E6"/>
    <w:rsid w:val="00963969"/>
    <w:rsid w:val="00964115"/>
    <w:rsid w:val="0096430A"/>
    <w:rsid w:val="0096554B"/>
    <w:rsid w:val="0096584A"/>
    <w:rsid w:val="00966AD4"/>
    <w:rsid w:val="00966DCE"/>
    <w:rsid w:val="00967F11"/>
    <w:rsid w:val="00970ACA"/>
    <w:rsid w:val="00971061"/>
    <w:rsid w:val="0097165B"/>
    <w:rsid w:val="00971F08"/>
    <w:rsid w:val="00972853"/>
    <w:rsid w:val="00974289"/>
    <w:rsid w:val="0097544D"/>
    <w:rsid w:val="0097603D"/>
    <w:rsid w:val="00976949"/>
    <w:rsid w:val="00976AA0"/>
    <w:rsid w:val="00976CDD"/>
    <w:rsid w:val="00977A2E"/>
    <w:rsid w:val="00980477"/>
    <w:rsid w:val="00980BE2"/>
    <w:rsid w:val="00982568"/>
    <w:rsid w:val="00982C60"/>
    <w:rsid w:val="00982CF7"/>
    <w:rsid w:val="0098368F"/>
    <w:rsid w:val="009841DB"/>
    <w:rsid w:val="00985253"/>
    <w:rsid w:val="009853B3"/>
    <w:rsid w:val="00986849"/>
    <w:rsid w:val="00987DC5"/>
    <w:rsid w:val="00990630"/>
    <w:rsid w:val="00990C06"/>
    <w:rsid w:val="00991761"/>
    <w:rsid w:val="00993AB8"/>
    <w:rsid w:val="00994DCA"/>
    <w:rsid w:val="00995D1C"/>
    <w:rsid w:val="009960EC"/>
    <w:rsid w:val="00996169"/>
    <w:rsid w:val="009964D7"/>
    <w:rsid w:val="009966BF"/>
    <w:rsid w:val="00996FE8"/>
    <w:rsid w:val="009970DD"/>
    <w:rsid w:val="00997240"/>
    <w:rsid w:val="00997443"/>
    <w:rsid w:val="009A04D8"/>
    <w:rsid w:val="009A0FBA"/>
    <w:rsid w:val="009A1601"/>
    <w:rsid w:val="009A16A0"/>
    <w:rsid w:val="009A1B30"/>
    <w:rsid w:val="009A2111"/>
    <w:rsid w:val="009A462D"/>
    <w:rsid w:val="009A4D86"/>
    <w:rsid w:val="009A56E1"/>
    <w:rsid w:val="009A5CBA"/>
    <w:rsid w:val="009A6BCA"/>
    <w:rsid w:val="009A7304"/>
    <w:rsid w:val="009A76E2"/>
    <w:rsid w:val="009A794E"/>
    <w:rsid w:val="009A7958"/>
    <w:rsid w:val="009A7C0B"/>
    <w:rsid w:val="009B0A7D"/>
    <w:rsid w:val="009B1B39"/>
    <w:rsid w:val="009B1DC1"/>
    <w:rsid w:val="009B1F30"/>
    <w:rsid w:val="009B318A"/>
    <w:rsid w:val="009B3AC2"/>
    <w:rsid w:val="009B4155"/>
    <w:rsid w:val="009B443E"/>
    <w:rsid w:val="009B4B07"/>
    <w:rsid w:val="009B4DF4"/>
    <w:rsid w:val="009B564E"/>
    <w:rsid w:val="009B5960"/>
    <w:rsid w:val="009B5BB6"/>
    <w:rsid w:val="009B64E5"/>
    <w:rsid w:val="009B66C2"/>
    <w:rsid w:val="009B69C8"/>
    <w:rsid w:val="009B7E87"/>
    <w:rsid w:val="009C0F06"/>
    <w:rsid w:val="009C2615"/>
    <w:rsid w:val="009C3902"/>
    <w:rsid w:val="009C3A59"/>
    <w:rsid w:val="009C403E"/>
    <w:rsid w:val="009C420C"/>
    <w:rsid w:val="009C43C3"/>
    <w:rsid w:val="009C6BF4"/>
    <w:rsid w:val="009D18D3"/>
    <w:rsid w:val="009D1F23"/>
    <w:rsid w:val="009D219C"/>
    <w:rsid w:val="009D21AE"/>
    <w:rsid w:val="009D2DB9"/>
    <w:rsid w:val="009D3DA2"/>
    <w:rsid w:val="009D428C"/>
    <w:rsid w:val="009D4FF0"/>
    <w:rsid w:val="009D5954"/>
    <w:rsid w:val="009D5A82"/>
    <w:rsid w:val="009D64F0"/>
    <w:rsid w:val="009D669F"/>
    <w:rsid w:val="009D6C4D"/>
    <w:rsid w:val="009D6D0E"/>
    <w:rsid w:val="009D703C"/>
    <w:rsid w:val="009D7043"/>
    <w:rsid w:val="009D718F"/>
    <w:rsid w:val="009D7664"/>
    <w:rsid w:val="009D7743"/>
    <w:rsid w:val="009D7FE4"/>
    <w:rsid w:val="009E0071"/>
    <w:rsid w:val="009E068F"/>
    <w:rsid w:val="009E14E0"/>
    <w:rsid w:val="009E35DB"/>
    <w:rsid w:val="009E3C40"/>
    <w:rsid w:val="009E47A3"/>
    <w:rsid w:val="009E47EB"/>
    <w:rsid w:val="009E5285"/>
    <w:rsid w:val="009E58F8"/>
    <w:rsid w:val="009E6F26"/>
    <w:rsid w:val="009F0646"/>
    <w:rsid w:val="009F08F3"/>
    <w:rsid w:val="009F1FB6"/>
    <w:rsid w:val="009F21E7"/>
    <w:rsid w:val="009F344F"/>
    <w:rsid w:val="009F35B4"/>
    <w:rsid w:val="009F4192"/>
    <w:rsid w:val="009F64AA"/>
    <w:rsid w:val="009F7207"/>
    <w:rsid w:val="00A001FE"/>
    <w:rsid w:val="00A00F39"/>
    <w:rsid w:val="00A01400"/>
    <w:rsid w:val="00A0284B"/>
    <w:rsid w:val="00A028ED"/>
    <w:rsid w:val="00A03216"/>
    <w:rsid w:val="00A039A0"/>
    <w:rsid w:val="00A03EA7"/>
    <w:rsid w:val="00A048A8"/>
    <w:rsid w:val="00A04F49"/>
    <w:rsid w:val="00A06BFD"/>
    <w:rsid w:val="00A075EA"/>
    <w:rsid w:val="00A07C9B"/>
    <w:rsid w:val="00A13E54"/>
    <w:rsid w:val="00A14555"/>
    <w:rsid w:val="00A1488D"/>
    <w:rsid w:val="00A1506E"/>
    <w:rsid w:val="00A1642D"/>
    <w:rsid w:val="00A17F63"/>
    <w:rsid w:val="00A200B3"/>
    <w:rsid w:val="00A212CA"/>
    <w:rsid w:val="00A2193B"/>
    <w:rsid w:val="00A222D5"/>
    <w:rsid w:val="00A22AA0"/>
    <w:rsid w:val="00A2320C"/>
    <w:rsid w:val="00A2351A"/>
    <w:rsid w:val="00A23A19"/>
    <w:rsid w:val="00A23B28"/>
    <w:rsid w:val="00A248FA"/>
    <w:rsid w:val="00A25615"/>
    <w:rsid w:val="00A2565C"/>
    <w:rsid w:val="00A26267"/>
    <w:rsid w:val="00A264A9"/>
    <w:rsid w:val="00A27785"/>
    <w:rsid w:val="00A277FF"/>
    <w:rsid w:val="00A30187"/>
    <w:rsid w:val="00A3448A"/>
    <w:rsid w:val="00A34631"/>
    <w:rsid w:val="00A34A39"/>
    <w:rsid w:val="00A356E1"/>
    <w:rsid w:val="00A35D21"/>
    <w:rsid w:val="00A36297"/>
    <w:rsid w:val="00A3642C"/>
    <w:rsid w:val="00A36950"/>
    <w:rsid w:val="00A371A5"/>
    <w:rsid w:val="00A37553"/>
    <w:rsid w:val="00A37A23"/>
    <w:rsid w:val="00A406C6"/>
    <w:rsid w:val="00A4134B"/>
    <w:rsid w:val="00A41E2B"/>
    <w:rsid w:val="00A4231B"/>
    <w:rsid w:val="00A4311E"/>
    <w:rsid w:val="00A437AE"/>
    <w:rsid w:val="00A43DE8"/>
    <w:rsid w:val="00A443B0"/>
    <w:rsid w:val="00A447A5"/>
    <w:rsid w:val="00A44883"/>
    <w:rsid w:val="00A451DE"/>
    <w:rsid w:val="00A457F4"/>
    <w:rsid w:val="00A45B74"/>
    <w:rsid w:val="00A463A6"/>
    <w:rsid w:val="00A46482"/>
    <w:rsid w:val="00A471C3"/>
    <w:rsid w:val="00A50FC8"/>
    <w:rsid w:val="00A510D0"/>
    <w:rsid w:val="00A512EF"/>
    <w:rsid w:val="00A513F9"/>
    <w:rsid w:val="00A51425"/>
    <w:rsid w:val="00A5184F"/>
    <w:rsid w:val="00A519D5"/>
    <w:rsid w:val="00A51CC7"/>
    <w:rsid w:val="00A52E1D"/>
    <w:rsid w:val="00A532A2"/>
    <w:rsid w:val="00A5361C"/>
    <w:rsid w:val="00A55BA2"/>
    <w:rsid w:val="00A56C65"/>
    <w:rsid w:val="00A57172"/>
    <w:rsid w:val="00A60FE2"/>
    <w:rsid w:val="00A61499"/>
    <w:rsid w:val="00A62149"/>
    <w:rsid w:val="00A62260"/>
    <w:rsid w:val="00A62A77"/>
    <w:rsid w:val="00A6327D"/>
    <w:rsid w:val="00A63483"/>
    <w:rsid w:val="00A637D4"/>
    <w:rsid w:val="00A6475E"/>
    <w:rsid w:val="00A657D7"/>
    <w:rsid w:val="00A65F7B"/>
    <w:rsid w:val="00A660AC"/>
    <w:rsid w:val="00A66B44"/>
    <w:rsid w:val="00A66C31"/>
    <w:rsid w:val="00A66D45"/>
    <w:rsid w:val="00A67CE7"/>
    <w:rsid w:val="00A67E6C"/>
    <w:rsid w:val="00A7022C"/>
    <w:rsid w:val="00A705D7"/>
    <w:rsid w:val="00A71B99"/>
    <w:rsid w:val="00A72A8E"/>
    <w:rsid w:val="00A739D0"/>
    <w:rsid w:val="00A74CD2"/>
    <w:rsid w:val="00A74DDC"/>
    <w:rsid w:val="00A74FE5"/>
    <w:rsid w:val="00A7533F"/>
    <w:rsid w:val="00A759C4"/>
    <w:rsid w:val="00A761D4"/>
    <w:rsid w:val="00A7626E"/>
    <w:rsid w:val="00A770A8"/>
    <w:rsid w:val="00A77EC4"/>
    <w:rsid w:val="00A804A4"/>
    <w:rsid w:val="00A8150D"/>
    <w:rsid w:val="00A82E99"/>
    <w:rsid w:val="00A845C0"/>
    <w:rsid w:val="00A84633"/>
    <w:rsid w:val="00A84BC4"/>
    <w:rsid w:val="00A868DA"/>
    <w:rsid w:val="00A86AD6"/>
    <w:rsid w:val="00A86C39"/>
    <w:rsid w:val="00A87592"/>
    <w:rsid w:val="00A87FB0"/>
    <w:rsid w:val="00A9013E"/>
    <w:rsid w:val="00A92156"/>
    <w:rsid w:val="00A92719"/>
    <w:rsid w:val="00A92879"/>
    <w:rsid w:val="00A92A6B"/>
    <w:rsid w:val="00A92DC0"/>
    <w:rsid w:val="00A933B4"/>
    <w:rsid w:val="00A94052"/>
    <w:rsid w:val="00A94299"/>
    <w:rsid w:val="00A9442A"/>
    <w:rsid w:val="00A9563C"/>
    <w:rsid w:val="00A95AA7"/>
    <w:rsid w:val="00A9601F"/>
    <w:rsid w:val="00A96AE7"/>
    <w:rsid w:val="00A9775E"/>
    <w:rsid w:val="00A97772"/>
    <w:rsid w:val="00AA0001"/>
    <w:rsid w:val="00AA016F"/>
    <w:rsid w:val="00AA1ED6"/>
    <w:rsid w:val="00AA26B7"/>
    <w:rsid w:val="00AA2AA7"/>
    <w:rsid w:val="00AA3DE2"/>
    <w:rsid w:val="00AA51D6"/>
    <w:rsid w:val="00AA6711"/>
    <w:rsid w:val="00AA72AF"/>
    <w:rsid w:val="00AA7B3C"/>
    <w:rsid w:val="00AB072A"/>
    <w:rsid w:val="00AB0BC8"/>
    <w:rsid w:val="00AB11CA"/>
    <w:rsid w:val="00AB12D8"/>
    <w:rsid w:val="00AB14D9"/>
    <w:rsid w:val="00AB167E"/>
    <w:rsid w:val="00AB20EF"/>
    <w:rsid w:val="00AB2307"/>
    <w:rsid w:val="00AB2A83"/>
    <w:rsid w:val="00AB2AFF"/>
    <w:rsid w:val="00AB4183"/>
    <w:rsid w:val="00AB420E"/>
    <w:rsid w:val="00AB4AB8"/>
    <w:rsid w:val="00AB4C01"/>
    <w:rsid w:val="00AB5A1A"/>
    <w:rsid w:val="00AB5CBA"/>
    <w:rsid w:val="00AB655E"/>
    <w:rsid w:val="00AB6952"/>
    <w:rsid w:val="00AB6ABF"/>
    <w:rsid w:val="00AB6CC7"/>
    <w:rsid w:val="00AB6E1E"/>
    <w:rsid w:val="00AB7269"/>
    <w:rsid w:val="00AC007F"/>
    <w:rsid w:val="00AC0ADD"/>
    <w:rsid w:val="00AC0C50"/>
    <w:rsid w:val="00AC2035"/>
    <w:rsid w:val="00AC221C"/>
    <w:rsid w:val="00AC23D1"/>
    <w:rsid w:val="00AC2ECD"/>
    <w:rsid w:val="00AC3119"/>
    <w:rsid w:val="00AC3852"/>
    <w:rsid w:val="00AC49FB"/>
    <w:rsid w:val="00AC50E1"/>
    <w:rsid w:val="00AC526C"/>
    <w:rsid w:val="00AC5A10"/>
    <w:rsid w:val="00AD0AA3"/>
    <w:rsid w:val="00AD0CF0"/>
    <w:rsid w:val="00AD1DDA"/>
    <w:rsid w:val="00AD1E31"/>
    <w:rsid w:val="00AD1EC5"/>
    <w:rsid w:val="00AD2410"/>
    <w:rsid w:val="00AD283A"/>
    <w:rsid w:val="00AD3216"/>
    <w:rsid w:val="00AD3519"/>
    <w:rsid w:val="00AD3F94"/>
    <w:rsid w:val="00AD40D8"/>
    <w:rsid w:val="00AD451A"/>
    <w:rsid w:val="00AD4A5A"/>
    <w:rsid w:val="00AD56E0"/>
    <w:rsid w:val="00AD6296"/>
    <w:rsid w:val="00AD784B"/>
    <w:rsid w:val="00AE002A"/>
    <w:rsid w:val="00AE128E"/>
    <w:rsid w:val="00AE13B8"/>
    <w:rsid w:val="00AE19A8"/>
    <w:rsid w:val="00AE27A5"/>
    <w:rsid w:val="00AE27AC"/>
    <w:rsid w:val="00AE2834"/>
    <w:rsid w:val="00AE2DE1"/>
    <w:rsid w:val="00AE3C65"/>
    <w:rsid w:val="00AE40E0"/>
    <w:rsid w:val="00AE4DBA"/>
    <w:rsid w:val="00AE4F07"/>
    <w:rsid w:val="00AE55A0"/>
    <w:rsid w:val="00AE5B7F"/>
    <w:rsid w:val="00AE5F10"/>
    <w:rsid w:val="00AE6333"/>
    <w:rsid w:val="00AE6C6D"/>
    <w:rsid w:val="00AF09CB"/>
    <w:rsid w:val="00AF194B"/>
    <w:rsid w:val="00AF1C5D"/>
    <w:rsid w:val="00AF2463"/>
    <w:rsid w:val="00AF3197"/>
    <w:rsid w:val="00AF33B6"/>
    <w:rsid w:val="00AF38EC"/>
    <w:rsid w:val="00AF42D7"/>
    <w:rsid w:val="00AF55D3"/>
    <w:rsid w:val="00AF56AF"/>
    <w:rsid w:val="00B006FE"/>
    <w:rsid w:val="00B007CB"/>
    <w:rsid w:val="00B0098A"/>
    <w:rsid w:val="00B00A97"/>
    <w:rsid w:val="00B02AA9"/>
    <w:rsid w:val="00B02F11"/>
    <w:rsid w:val="00B02FA3"/>
    <w:rsid w:val="00B05084"/>
    <w:rsid w:val="00B05477"/>
    <w:rsid w:val="00B05709"/>
    <w:rsid w:val="00B059E5"/>
    <w:rsid w:val="00B06459"/>
    <w:rsid w:val="00B06E0D"/>
    <w:rsid w:val="00B07456"/>
    <w:rsid w:val="00B10321"/>
    <w:rsid w:val="00B108F6"/>
    <w:rsid w:val="00B109C8"/>
    <w:rsid w:val="00B11360"/>
    <w:rsid w:val="00B11A50"/>
    <w:rsid w:val="00B131F3"/>
    <w:rsid w:val="00B13B8D"/>
    <w:rsid w:val="00B13D27"/>
    <w:rsid w:val="00B13EE6"/>
    <w:rsid w:val="00B147DD"/>
    <w:rsid w:val="00B152C5"/>
    <w:rsid w:val="00B157F9"/>
    <w:rsid w:val="00B16987"/>
    <w:rsid w:val="00B16FC2"/>
    <w:rsid w:val="00B1721D"/>
    <w:rsid w:val="00B172DE"/>
    <w:rsid w:val="00B17648"/>
    <w:rsid w:val="00B20256"/>
    <w:rsid w:val="00B20D09"/>
    <w:rsid w:val="00B21A64"/>
    <w:rsid w:val="00B22450"/>
    <w:rsid w:val="00B22CEC"/>
    <w:rsid w:val="00B2358E"/>
    <w:rsid w:val="00B2375E"/>
    <w:rsid w:val="00B23C56"/>
    <w:rsid w:val="00B240C2"/>
    <w:rsid w:val="00B24257"/>
    <w:rsid w:val="00B2441E"/>
    <w:rsid w:val="00B2763F"/>
    <w:rsid w:val="00B27AAC"/>
    <w:rsid w:val="00B304F3"/>
    <w:rsid w:val="00B30929"/>
    <w:rsid w:val="00B30BD2"/>
    <w:rsid w:val="00B31051"/>
    <w:rsid w:val="00B31176"/>
    <w:rsid w:val="00B31844"/>
    <w:rsid w:val="00B31928"/>
    <w:rsid w:val="00B31A27"/>
    <w:rsid w:val="00B31A8E"/>
    <w:rsid w:val="00B33B92"/>
    <w:rsid w:val="00B342AD"/>
    <w:rsid w:val="00B3615D"/>
    <w:rsid w:val="00B372AA"/>
    <w:rsid w:val="00B3774B"/>
    <w:rsid w:val="00B40445"/>
    <w:rsid w:val="00B405D9"/>
    <w:rsid w:val="00B40BEF"/>
    <w:rsid w:val="00B41888"/>
    <w:rsid w:val="00B41AF1"/>
    <w:rsid w:val="00B42A71"/>
    <w:rsid w:val="00B42A92"/>
    <w:rsid w:val="00B458EF"/>
    <w:rsid w:val="00B45A52"/>
    <w:rsid w:val="00B46175"/>
    <w:rsid w:val="00B506A2"/>
    <w:rsid w:val="00B517C6"/>
    <w:rsid w:val="00B51B91"/>
    <w:rsid w:val="00B51DE9"/>
    <w:rsid w:val="00B5392B"/>
    <w:rsid w:val="00B5440A"/>
    <w:rsid w:val="00B54DCF"/>
    <w:rsid w:val="00B5529F"/>
    <w:rsid w:val="00B574E1"/>
    <w:rsid w:val="00B57886"/>
    <w:rsid w:val="00B57F7E"/>
    <w:rsid w:val="00B60ED0"/>
    <w:rsid w:val="00B6188F"/>
    <w:rsid w:val="00B63B96"/>
    <w:rsid w:val="00B6443B"/>
    <w:rsid w:val="00B6613E"/>
    <w:rsid w:val="00B664C7"/>
    <w:rsid w:val="00B66B2F"/>
    <w:rsid w:val="00B7039F"/>
    <w:rsid w:val="00B70EA6"/>
    <w:rsid w:val="00B710ED"/>
    <w:rsid w:val="00B714D6"/>
    <w:rsid w:val="00B723D1"/>
    <w:rsid w:val="00B739F6"/>
    <w:rsid w:val="00B73EC9"/>
    <w:rsid w:val="00B74FA4"/>
    <w:rsid w:val="00B75F96"/>
    <w:rsid w:val="00B7649B"/>
    <w:rsid w:val="00B768BD"/>
    <w:rsid w:val="00B7767B"/>
    <w:rsid w:val="00B77E3C"/>
    <w:rsid w:val="00B80A75"/>
    <w:rsid w:val="00B81A6C"/>
    <w:rsid w:val="00B8293F"/>
    <w:rsid w:val="00B84E1E"/>
    <w:rsid w:val="00B8585A"/>
    <w:rsid w:val="00B85DE5"/>
    <w:rsid w:val="00B85FAF"/>
    <w:rsid w:val="00B868C8"/>
    <w:rsid w:val="00B87D59"/>
    <w:rsid w:val="00B9070B"/>
    <w:rsid w:val="00B9075C"/>
    <w:rsid w:val="00B90F73"/>
    <w:rsid w:val="00B917C3"/>
    <w:rsid w:val="00B9282F"/>
    <w:rsid w:val="00B928D0"/>
    <w:rsid w:val="00B93B59"/>
    <w:rsid w:val="00B9406A"/>
    <w:rsid w:val="00B942A7"/>
    <w:rsid w:val="00B944AC"/>
    <w:rsid w:val="00B954A0"/>
    <w:rsid w:val="00B95AAC"/>
    <w:rsid w:val="00B964A8"/>
    <w:rsid w:val="00B9656E"/>
    <w:rsid w:val="00B97752"/>
    <w:rsid w:val="00BA0067"/>
    <w:rsid w:val="00BA0818"/>
    <w:rsid w:val="00BA0A86"/>
    <w:rsid w:val="00BA0E3B"/>
    <w:rsid w:val="00BA13D2"/>
    <w:rsid w:val="00BA2280"/>
    <w:rsid w:val="00BA2A08"/>
    <w:rsid w:val="00BA484E"/>
    <w:rsid w:val="00BA56D2"/>
    <w:rsid w:val="00BA5F16"/>
    <w:rsid w:val="00BA76E0"/>
    <w:rsid w:val="00BB0F85"/>
    <w:rsid w:val="00BB283E"/>
    <w:rsid w:val="00BB2A25"/>
    <w:rsid w:val="00BB2E70"/>
    <w:rsid w:val="00BB33DF"/>
    <w:rsid w:val="00BB3FC8"/>
    <w:rsid w:val="00BB4316"/>
    <w:rsid w:val="00BB5182"/>
    <w:rsid w:val="00BB51E9"/>
    <w:rsid w:val="00BB560E"/>
    <w:rsid w:val="00BB5BBB"/>
    <w:rsid w:val="00BB5BBD"/>
    <w:rsid w:val="00BB5D0D"/>
    <w:rsid w:val="00BB6360"/>
    <w:rsid w:val="00BB725D"/>
    <w:rsid w:val="00BC0E71"/>
    <w:rsid w:val="00BC0FDC"/>
    <w:rsid w:val="00BC1E67"/>
    <w:rsid w:val="00BC28DF"/>
    <w:rsid w:val="00BC29D3"/>
    <w:rsid w:val="00BC3053"/>
    <w:rsid w:val="00BC3794"/>
    <w:rsid w:val="00BC4D2E"/>
    <w:rsid w:val="00BC4E43"/>
    <w:rsid w:val="00BC6B50"/>
    <w:rsid w:val="00BC6CCB"/>
    <w:rsid w:val="00BC749C"/>
    <w:rsid w:val="00BD0106"/>
    <w:rsid w:val="00BD0222"/>
    <w:rsid w:val="00BD12C3"/>
    <w:rsid w:val="00BD2279"/>
    <w:rsid w:val="00BD22B1"/>
    <w:rsid w:val="00BD2557"/>
    <w:rsid w:val="00BD2CF5"/>
    <w:rsid w:val="00BD48AC"/>
    <w:rsid w:val="00BD4ADF"/>
    <w:rsid w:val="00BD5F1A"/>
    <w:rsid w:val="00BD677F"/>
    <w:rsid w:val="00BD7BE3"/>
    <w:rsid w:val="00BE0622"/>
    <w:rsid w:val="00BE0DB2"/>
    <w:rsid w:val="00BE0DD7"/>
    <w:rsid w:val="00BE1234"/>
    <w:rsid w:val="00BE1C2D"/>
    <w:rsid w:val="00BE21B7"/>
    <w:rsid w:val="00BE2FA6"/>
    <w:rsid w:val="00BE333F"/>
    <w:rsid w:val="00BE3CF3"/>
    <w:rsid w:val="00BE3E64"/>
    <w:rsid w:val="00BE50B4"/>
    <w:rsid w:val="00BE603F"/>
    <w:rsid w:val="00BE7406"/>
    <w:rsid w:val="00BE7603"/>
    <w:rsid w:val="00BF11A4"/>
    <w:rsid w:val="00BF2DA6"/>
    <w:rsid w:val="00BF3279"/>
    <w:rsid w:val="00BF35AF"/>
    <w:rsid w:val="00BF53BB"/>
    <w:rsid w:val="00BF55A5"/>
    <w:rsid w:val="00BF5D67"/>
    <w:rsid w:val="00BF6EA6"/>
    <w:rsid w:val="00BF74C7"/>
    <w:rsid w:val="00BF7D5A"/>
    <w:rsid w:val="00C004AD"/>
    <w:rsid w:val="00C015F1"/>
    <w:rsid w:val="00C01868"/>
    <w:rsid w:val="00C01F33"/>
    <w:rsid w:val="00C02CC6"/>
    <w:rsid w:val="00C02FAF"/>
    <w:rsid w:val="00C0344E"/>
    <w:rsid w:val="00C0364A"/>
    <w:rsid w:val="00C040F7"/>
    <w:rsid w:val="00C041B0"/>
    <w:rsid w:val="00C044AB"/>
    <w:rsid w:val="00C044E0"/>
    <w:rsid w:val="00C04FC3"/>
    <w:rsid w:val="00C05551"/>
    <w:rsid w:val="00C05706"/>
    <w:rsid w:val="00C07377"/>
    <w:rsid w:val="00C10478"/>
    <w:rsid w:val="00C105C6"/>
    <w:rsid w:val="00C10E58"/>
    <w:rsid w:val="00C113FD"/>
    <w:rsid w:val="00C118EE"/>
    <w:rsid w:val="00C12107"/>
    <w:rsid w:val="00C1301B"/>
    <w:rsid w:val="00C148F9"/>
    <w:rsid w:val="00C14D4B"/>
    <w:rsid w:val="00C154BB"/>
    <w:rsid w:val="00C16000"/>
    <w:rsid w:val="00C1613A"/>
    <w:rsid w:val="00C1751F"/>
    <w:rsid w:val="00C17A6B"/>
    <w:rsid w:val="00C20500"/>
    <w:rsid w:val="00C20856"/>
    <w:rsid w:val="00C211B1"/>
    <w:rsid w:val="00C237B7"/>
    <w:rsid w:val="00C23E4E"/>
    <w:rsid w:val="00C23E55"/>
    <w:rsid w:val="00C23E8E"/>
    <w:rsid w:val="00C2445D"/>
    <w:rsid w:val="00C24F4B"/>
    <w:rsid w:val="00C273EC"/>
    <w:rsid w:val="00C279B5"/>
    <w:rsid w:val="00C27C45"/>
    <w:rsid w:val="00C304D8"/>
    <w:rsid w:val="00C30D15"/>
    <w:rsid w:val="00C323F8"/>
    <w:rsid w:val="00C3328B"/>
    <w:rsid w:val="00C34289"/>
    <w:rsid w:val="00C344E1"/>
    <w:rsid w:val="00C35108"/>
    <w:rsid w:val="00C35341"/>
    <w:rsid w:val="00C3719D"/>
    <w:rsid w:val="00C377FB"/>
    <w:rsid w:val="00C41728"/>
    <w:rsid w:val="00C4220C"/>
    <w:rsid w:val="00C42CD4"/>
    <w:rsid w:val="00C45103"/>
    <w:rsid w:val="00C46BD8"/>
    <w:rsid w:val="00C4740E"/>
    <w:rsid w:val="00C4799A"/>
    <w:rsid w:val="00C503C8"/>
    <w:rsid w:val="00C51405"/>
    <w:rsid w:val="00C51B41"/>
    <w:rsid w:val="00C5290E"/>
    <w:rsid w:val="00C54548"/>
    <w:rsid w:val="00C54995"/>
    <w:rsid w:val="00C54D41"/>
    <w:rsid w:val="00C550A2"/>
    <w:rsid w:val="00C55BA9"/>
    <w:rsid w:val="00C55BE5"/>
    <w:rsid w:val="00C56740"/>
    <w:rsid w:val="00C57D01"/>
    <w:rsid w:val="00C60783"/>
    <w:rsid w:val="00C60D0B"/>
    <w:rsid w:val="00C626B4"/>
    <w:rsid w:val="00C62A41"/>
    <w:rsid w:val="00C62A85"/>
    <w:rsid w:val="00C631E7"/>
    <w:rsid w:val="00C64672"/>
    <w:rsid w:val="00C64790"/>
    <w:rsid w:val="00C64C5D"/>
    <w:rsid w:val="00C65913"/>
    <w:rsid w:val="00C66489"/>
    <w:rsid w:val="00C70697"/>
    <w:rsid w:val="00C706F8"/>
    <w:rsid w:val="00C707B1"/>
    <w:rsid w:val="00C71A67"/>
    <w:rsid w:val="00C72C5B"/>
    <w:rsid w:val="00C72EF4"/>
    <w:rsid w:val="00C732D1"/>
    <w:rsid w:val="00C73717"/>
    <w:rsid w:val="00C7412B"/>
    <w:rsid w:val="00C7454A"/>
    <w:rsid w:val="00C746A8"/>
    <w:rsid w:val="00C7556D"/>
    <w:rsid w:val="00C75D2F"/>
    <w:rsid w:val="00C767BE"/>
    <w:rsid w:val="00C76A22"/>
    <w:rsid w:val="00C76E3C"/>
    <w:rsid w:val="00C7796C"/>
    <w:rsid w:val="00C80511"/>
    <w:rsid w:val="00C810A3"/>
    <w:rsid w:val="00C81568"/>
    <w:rsid w:val="00C81F93"/>
    <w:rsid w:val="00C83AC7"/>
    <w:rsid w:val="00C843B7"/>
    <w:rsid w:val="00C87E83"/>
    <w:rsid w:val="00C9027A"/>
    <w:rsid w:val="00C9068E"/>
    <w:rsid w:val="00C90779"/>
    <w:rsid w:val="00C91844"/>
    <w:rsid w:val="00C925EC"/>
    <w:rsid w:val="00C93C4B"/>
    <w:rsid w:val="00C944AB"/>
    <w:rsid w:val="00C95686"/>
    <w:rsid w:val="00C95B40"/>
    <w:rsid w:val="00C96E9D"/>
    <w:rsid w:val="00C97123"/>
    <w:rsid w:val="00C97EEE"/>
    <w:rsid w:val="00CA0071"/>
    <w:rsid w:val="00CA078D"/>
    <w:rsid w:val="00CA1ED8"/>
    <w:rsid w:val="00CA2985"/>
    <w:rsid w:val="00CA2F88"/>
    <w:rsid w:val="00CA3BD6"/>
    <w:rsid w:val="00CA6A64"/>
    <w:rsid w:val="00CA775F"/>
    <w:rsid w:val="00CB0A26"/>
    <w:rsid w:val="00CB14C6"/>
    <w:rsid w:val="00CB16A6"/>
    <w:rsid w:val="00CB1F63"/>
    <w:rsid w:val="00CB21A4"/>
    <w:rsid w:val="00CB3BD4"/>
    <w:rsid w:val="00CB5574"/>
    <w:rsid w:val="00CB58FF"/>
    <w:rsid w:val="00CB5F79"/>
    <w:rsid w:val="00CB698B"/>
    <w:rsid w:val="00CB6F2F"/>
    <w:rsid w:val="00CB7170"/>
    <w:rsid w:val="00CB73C1"/>
    <w:rsid w:val="00CB796B"/>
    <w:rsid w:val="00CC040E"/>
    <w:rsid w:val="00CC10E3"/>
    <w:rsid w:val="00CC111F"/>
    <w:rsid w:val="00CC1297"/>
    <w:rsid w:val="00CC2011"/>
    <w:rsid w:val="00CC2D2E"/>
    <w:rsid w:val="00CC2E3B"/>
    <w:rsid w:val="00CC2F05"/>
    <w:rsid w:val="00CC3A03"/>
    <w:rsid w:val="00CC3EA0"/>
    <w:rsid w:val="00CC4B03"/>
    <w:rsid w:val="00CC4C24"/>
    <w:rsid w:val="00CC5DFD"/>
    <w:rsid w:val="00CC6C32"/>
    <w:rsid w:val="00CC7AFA"/>
    <w:rsid w:val="00CC7B45"/>
    <w:rsid w:val="00CD089E"/>
    <w:rsid w:val="00CD1188"/>
    <w:rsid w:val="00CD1349"/>
    <w:rsid w:val="00CD1AC6"/>
    <w:rsid w:val="00CD2184"/>
    <w:rsid w:val="00CD2ED1"/>
    <w:rsid w:val="00CD337B"/>
    <w:rsid w:val="00CD40F0"/>
    <w:rsid w:val="00CD4948"/>
    <w:rsid w:val="00CD57F0"/>
    <w:rsid w:val="00CD6F7C"/>
    <w:rsid w:val="00CD7B41"/>
    <w:rsid w:val="00CE0424"/>
    <w:rsid w:val="00CE1A5C"/>
    <w:rsid w:val="00CE1ADD"/>
    <w:rsid w:val="00CE217D"/>
    <w:rsid w:val="00CE2193"/>
    <w:rsid w:val="00CE2ACC"/>
    <w:rsid w:val="00CE2EF2"/>
    <w:rsid w:val="00CE36C1"/>
    <w:rsid w:val="00CE418D"/>
    <w:rsid w:val="00CE468E"/>
    <w:rsid w:val="00CE589A"/>
    <w:rsid w:val="00CE5BDC"/>
    <w:rsid w:val="00CE695F"/>
    <w:rsid w:val="00CE69B9"/>
    <w:rsid w:val="00CE6E5D"/>
    <w:rsid w:val="00CE7561"/>
    <w:rsid w:val="00CF009F"/>
    <w:rsid w:val="00CF08D9"/>
    <w:rsid w:val="00CF1354"/>
    <w:rsid w:val="00CF2C08"/>
    <w:rsid w:val="00CF3A40"/>
    <w:rsid w:val="00CF3B1F"/>
    <w:rsid w:val="00CF3BF6"/>
    <w:rsid w:val="00CF5ABE"/>
    <w:rsid w:val="00CF625B"/>
    <w:rsid w:val="00CF687E"/>
    <w:rsid w:val="00CF6FC5"/>
    <w:rsid w:val="00D0057F"/>
    <w:rsid w:val="00D019FD"/>
    <w:rsid w:val="00D0250A"/>
    <w:rsid w:val="00D02E85"/>
    <w:rsid w:val="00D0349B"/>
    <w:rsid w:val="00D04B2E"/>
    <w:rsid w:val="00D04E79"/>
    <w:rsid w:val="00D10249"/>
    <w:rsid w:val="00D10DB5"/>
    <w:rsid w:val="00D113DC"/>
    <w:rsid w:val="00D115C3"/>
    <w:rsid w:val="00D11897"/>
    <w:rsid w:val="00D11CF3"/>
    <w:rsid w:val="00D12E78"/>
    <w:rsid w:val="00D13135"/>
    <w:rsid w:val="00D13210"/>
    <w:rsid w:val="00D1330B"/>
    <w:rsid w:val="00D13E4E"/>
    <w:rsid w:val="00D15616"/>
    <w:rsid w:val="00D15BD7"/>
    <w:rsid w:val="00D17AC8"/>
    <w:rsid w:val="00D17EA1"/>
    <w:rsid w:val="00D212D4"/>
    <w:rsid w:val="00D219D4"/>
    <w:rsid w:val="00D232F7"/>
    <w:rsid w:val="00D239A7"/>
    <w:rsid w:val="00D23F47"/>
    <w:rsid w:val="00D2476E"/>
    <w:rsid w:val="00D2685C"/>
    <w:rsid w:val="00D268FE"/>
    <w:rsid w:val="00D26EC8"/>
    <w:rsid w:val="00D27759"/>
    <w:rsid w:val="00D3107E"/>
    <w:rsid w:val="00D31201"/>
    <w:rsid w:val="00D314B7"/>
    <w:rsid w:val="00D31705"/>
    <w:rsid w:val="00D34A5D"/>
    <w:rsid w:val="00D34F5E"/>
    <w:rsid w:val="00D35767"/>
    <w:rsid w:val="00D35A82"/>
    <w:rsid w:val="00D35CD7"/>
    <w:rsid w:val="00D35EE7"/>
    <w:rsid w:val="00D36BD7"/>
    <w:rsid w:val="00D36E71"/>
    <w:rsid w:val="00D37D87"/>
    <w:rsid w:val="00D402E7"/>
    <w:rsid w:val="00D40535"/>
    <w:rsid w:val="00D40579"/>
    <w:rsid w:val="00D40B33"/>
    <w:rsid w:val="00D40DD8"/>
    <w:rsid w:val="00D41AD5"/>
    <w:rsid w:val="00D41EAF"/>
    <w:rsid w:val="00D42423"/>
    <w:rsid w:val="00D42FF1"/>
    <w:rsid w:val="00D4318F"/>
    <w:rsid w:val="00D43697"/>
    <w:rsid w:val="00D4383D"/>
    <w:rsid w:val="00D438BF"/>
    <w:rsid w:val="00D440F8"/>
    <w:rsid w:val="00D4609B"/>
    <w:rsid w:val="00D4689D"/>
    <w:rsid w:val="00D50160"/>
    <w:rsid w:val="00D50F97"/>
    <w:rsid w:val="00D52604"/>
    <w:rsid w:val="00D52D2A"/>
    <w:rsid w:val="00D5381B"/>
    <w:rsid w:val="00D53CD3"/>
    <w:rsid w:val="00D54229"/>
    <w:rsid w:val="00D546FF"/>
    <w:rsid w:val="00D54E2B"/>
    <w:rsid w:val="00D5515A"/>
    <w:rsid w:val="00D5532B"/>
    <w:rsid w:val="00D55AD5"/>
    <w:rsid w:val="00D564A4"/>
    <w:rsid w:val="00D57473"/>
    <w:rsid w:val="00D576CA"/>
    <w:rsid w:val="00D57A01"/>
    <w:rsid w:val="00D60719"/>
    <w:rsid w:val="00D61010"/>
    <w:rsid w:val="00D61AF5"/>
    <w:rsid w:val="00D61C12"/>
    <w:rsid w:val="00D633BC"/>
    <w:rsid w:val="00D6345B"/>
    <w:rsid w:val="00D6386F"/>
    <w:rsid w:val="00D652B5"/>
    <w:rsid w:val="00D66106"/>
    <w:rsid w:val="00D66155"/>
    <w:rsid w:val="00D674FE"/>
    <w:rsid w:val="00D708B0"/>
    <w:rsid w:val="00D70941"/>
    <w:rsid w:val="00D71F67"/>
    <w:rsid w:val="00D73CCC"/>
    <w:rsid w:val="00D745EE"/>
    <w:rsid w:val="00D77AD4"/>
    <w:rsid w:val="00D77B1D"/>
    <w:rsid w:val="00D8021F"/>
    <w:rsid w:val="00D80383"/>
    <w:rsid w:val="00D814D2"/>
    <w:rsid w:val="00D8160C"/>
    <w:rsid w:val="00D820DF"/>
    <w:rsid w:val="00D823C6"/>
    <w:rsid w:val="00D8250D"/>
    <w:rsid w:val="00D826A5"/>
    <w:rsid w:val="00D8437D"/>
    <w:rsid w:val="00D84415"/>
    <w:rsid w:val="00D845E6"/>
    <w:rsid w:val="00D8594E"/>
    <w:rsid w:val="00D85D95"/>
    <w:rsid w:val="00D86CA3"/>
    <w:rsid w:val="00D871CE"/>
    <w:rsid w:val="00D87349"/>
    <w:rsid w:val="00D915D1"/>
    <w:rsid w:val="00D9196D"/>
    <w:rsid w:val="00D91C82"/>
    <w:rsid w:val="00D92982"/>
    <w:rsid w:val="00D92BF0"/>
    <w:rsid w:val="00D9344F"/>
    <w:rsid w:val="00D94B4D"/>
    <w:rsid w:val="00D9542D"/>
    <w:rsid w:val="00D96F81"/>
    <w:rsid w:val="00D97E56"/>
    <w:rsid w:val="00D97E68"/>
    <w:rsid w:val="00DA01C4"/>
    <w:rsid w:val="00DA0850"/>
    <w:rsid w:val="00DA15A4"/>
    <w:rsid w:val="00DA26C2"/>
    <w:rsid w:val="00DA305E"/>
    <w:rsid w:val="00DA4E32"/>
    <w:rsid w:val="00DA4F1C"/>
    <w:rsid w:val="00DA5417"/>
    <w:rsid w:val="00DA56E8"/>
    <w:rsid w:val="00DA6518"/>
    <w:rsid w:val="00DB043A"/>
    <w:rsid w:val="00DB0A9F"/>
    <w:rsid w:val="00DB377D"/>
    <w:rsid w:val="00DB4235"/>
    <w:rsid w:val="00DB461A"/>
    <w:rsid w:val="00DB4CDF"/>
    <w:rsid w:val="00DB4D8A"/>
    <w:rsid w:val="00DB514E"/>
    <w:rsid w:val="00DB5922"/>
    <w:rsid w:val="00DB6712"/>
    <w:rsid w:val="00DB7C1E"/>
    <w:rsid w:val="00DC13F4"/>
    <w:rsid w:val="00DC14D7"/>
    <w:rsid w:val="00DC1535"/>
    <w:rsid w:val="00DC1CEF"/>
    <w:rsid w:val="00DC227B"/>
    <w:rsid w:val="00DC2D36"/>
    <w:rsid w:val="00DC2DA0"/>
    <w:rsid w:val="00DC3287"/>
    <w:rsid w:val="00DC3F0B"/>
    <w:rsid w:val="00DC530B"/>
    <w:rsid w:val="00DC53EF"/>
    <w:rsid w:val="00DC6639"/>
    <w:rsid w:val="00DC6BA9"/>
    <w:rsid w:val="00DC74D9"/>
    <w:rsid w:val="00DC7B5D"/>
    <w:rsid w:val="00DD0026"/>
    <w:rsid w:val="00DD0263"/>
    <w:rsid w:val="00DD0DA6"/>
    <w:rsid w:val="00DD1880"/>
    <w:rsid w:val="00DD20A0"/>
    <w:rsid w:val="00DD29B5"/>
    <w:rsid w:val="00DD396C"/>
    <w:rsid w:val="00DD3B64"/>
    <w:rsid w:val="00DD53FD"/>
    <w:rsid w:val="00DD5D69"/>
    <w:rsid w:val="00DD60E6"/>
    <w:rsid w:val="00DD6F36"/>
    <w:rsid w:val="00DE1645"/>
    <w:rsid w:val="00DE1944"/>
    <w:rsid w:val="00DE1E88"/>
    <w:rsid w:val="00DE38B4"/>
    <w:rsid w:val="00DE5608"/>
    <w:rsid w:val="00DE58D0"/>
    <w:rsid w:val="00DE654F"/>
    <w:rsid w:val="00DE6A68"/>
    <w:rsid w:val="00DE73A4"/>
    <w:rsid w:val="00DF0B0C"/>
    <w:rsid w:val="00DF0B6E"/>
    <w:rsid w:val="00DF15E0"/>
    <w:rsid w:val="00DF1927"/>
    <w:rsid w:val="00DF1A7F"/>
    <w:rsid w:val="00DF37A0"/>
    <w:rsid w:val="00DF3868"/>
    <w:rsid w:val="00DF3908"/>
    <w:rsid w:val="00DF475D"/>
    <w:rsid w:val="00DF4818"/>
    <w:rsid w:val="00DF4A78"/>
    <w:rsid w:val="00DF4BDF"/>
    <w:rsid w:val="00DF545F"/>
    <w:rsid w:val="00DF5BFE"/>
    <w:rsid w:val="00DF67BB"/>
    <w:rsid w:val="00DF6E60"/>
    <w:rsid w:val="00DF71A0"/>
    <w:rsid w:val="00E00516"/>
    <w:rsid w:val="00E01AD8"/>
    <w:rsid w:val="00E03350"/>
    <w:rsid w:val="00E0644D"/>
    <w:rsid w:val="00E069AD"/>
    <w:rsid w:val="00E06E86"/>
    <w:rsid w:val="00E110E7"/>
    <w:rsid w:val="00E11609"/>
    <w:rsid w:val="00E11B20"/>
    <w:rsid w:val="00E1244C"/>
    <w:rsid w:val="00E1249E"/>
    <w:rsid w:val="00E12604"/>
    <w:rsid w:val="00E12738"/>
    <w:rsid w:val="00E1291B"/>
    <w:rsid w:val="00E14CAC"/>
    <w:rsid w:val="00E14D9A"/>
    <w:rsid w:val="00E14F40"/>
    <w:rsid w:val="00E15F7E"/>
    <w:rsid w:val="00E16DB2"/>
    <w:rsid w:val="00E1748C"/>
    <w:rsid w:val="00E17601"/>
    <w:rsid w:val="00E17FA2"/>
    <w:rsid w:val="00E206B2"/>
    <w:rsid w:val="00E20FFC"/>
    <w:rsid w:val="00E2189E"/>
    <w:rsid w:val="00E21B05"/>
    <w:rsid w:val="00E22330"/>
    <w:rsid w:val="00E237FB"/>
    <w:rsid w:val="00E23B4B"/>
    <w:rsid w:val="00E23BBE"/>
    <w:rsid w:val="00E24C9A"/>
    <w:rsid w:val="00E256B9"/>
    <w:rsid w:val="00E27B45"/>
    <w:rsid w:val="00E27BFC"/>
    <w:rsid w:val="00E30805"/>
    <w:rsid w:val="00E30B5A"/>
    <w:rsid w:val="00E30DAD"/>
    <w:rsid w:val="00E30E8C"/>
    <w:rsid w:val="00E3123D"/>
    <w:rsid w:val="00E31461"/>
    <w:rsid w:val="00E31D43"/>
    <w:rsid w:val="00E32608"/>
    <w:rsid w:val="00E34188"/>
    <w:rsid w:val="00E34B6E"/>
    <w:rsid w:val="00E35559"/>
    <w:rsid w:val="00E35D9B"/>
    <w:rsid w:val="00E368A5"/>
    <w:rsid w:val="00E3723A"/>
    <w:rsid w:val="00E37860"/>
    <w:rsid w:val="00E37A27"/>
    <w:rsid w:val="00E401B5"/>
    <w:rsid w:val="00E40F3C"/>
    <w:rsid w:val="00E413D9"/>
    <w:rsid w:val="00E43FE2"/>
    <w:rsid w:val="00E446F1"/>
    <w:rsid w:val="00E44A90"/>
    <w:rsid w:val="00E44E2C"/>
    <w:rsid w:val="00E45807"/>
    <w:rsid w:val="00E46886"/>
    <w:rsid w:val="00E46975"/>
    <w:rsid w:val="00E472FC"/>
    <w:rsid w:val="00E47AEF"/>
    <w:rsid w:val="00E51151"/>
    <w:rsid w:val="00E52131"/>
    <w:rsid w:val="00E527B9"/>
    <w:rsid w:val="00E53B75"/>
    <w:rsid w:val="00E54B96"/>
    <w:rsid w:val="00E54E3B"/>
    <w:rsid w:val="00E55D1A"/>
    <w:rsid w:val="00E571D6"/>
    <w:rsid w:val="00E57565"/>
    <w:rsid w:val="00E606C9"/>
    <w:rsid w:val="00E60CC2"/>
    <w:rsid w:val="00E61AC6"/>
    <w:rsid w:val="00E61B2A"/>
    <w:rsid w:val="00E6287A"/>
    <w:rsid w:val="00E62EA9"/>
    <w:rsid w:val="00E632D0"/>
    <w:rsid w:val="00E636B3"/>
    <w:rsid w:val="00E6379F"/>
    <w:rsid w:val="00E63838"/>
    <w:rsid w:val="00E64434"/>
    <w:rsid w:val="00E6456F"/>
    <w:rsid w:val="00E65DBE"/>
    <w:rsid w:val="00E65F62"/>
    <w:rsid w:val="00E660D3"/>
    <w:rsid w:val="00E6752E"/>
    <w:rsid w:val="00E67801"/>
    <w:rsid w:val="00E67C51"/>
    <w:rsid w:val="00E712F1"/>
    <w:rsid w:val="00E721A7"/>
    <w:rsid w:val="00E722A0"/>
    <w:rsid w:val="00E72EFC"/>
    <w:rsid w:val="00E73759"/>
    <w:rsid w:val="00E743B9"/>
    <w:rsid w:val="00E749DB"/>
    <w:rsid w:val="00E758EC"/>
    <w:rsid w:val="00E75D8C"/>
    <w:rsid w:val="00E75F89"/>
    <w:rsid w:val="00E76B18"/>
    <w:rsid w:val="00E811FC"/>
    <w:rsid w:val="00E81CCA"/>
    <w:rsid w:val="00E8234C"/>
    <w:rsid w:val="00E82DBD"/>
    <w:rsid w:val="00E83815"/>
    <w:rsid w:val="00E83AA9"/>
    <w:rsid w:val="00E84032"/>
    <w:rsid w:val="00E85928"/>
    <w:rsid w:val="00E85CF8"/>
    <w:rsid w:val="00E85DA6"/>
    <w:rsid w:val="00E87822"/>
    <w:rsid w:val="00E90395"/>
    <w:rsid w:val="00E9098B"/>
    <w:rsid w:val="00E90E49"/>
    <w:rsid w:val="00E917F9"/>
    <w:rsid w:val="00E91A41"/>
    <w:rsid w:val="00E9291C"/>
    <w:rsid w:val="00E92972"/>
    <w:rsid w:val="00E939A4"/>
    <w:rsid w:val="00E93DB2"/>
    <w:rsid w:val="00E93FFE"/>
    <w:rsid w:val="00E94F8A"/>
    <w:rsid w:val="00E9597C"/>
    <w:rsid w:val="00E9608A"/>
    <w:rsid w:val="00E96094"/>
    <w:rsid w:val="00E96347"/>
    <w:rsid w:val="00E96A15"/>
    <w:rsid w:val="00E974B6"/>
    <w:rsid w:val="00E97D31"/>
    <w:rsid w:val="00EA03A3"/>
    <w:rsid w:val="00EA192B"/>
    <w:rsid w:val="00EA3567"/>
    <w:rsid w:val="00EA3C86"/>
    <w:rsid w:val="00EA4DBD"/>
    <w:rsid w:val="00EA5123"/>
    <w:rsid w:val="00EA667E"/>
    <w:rsid w:val="00EA6D24"/>
    <w:rsid w:val="00EA7A41"/>
    <w:rsid w:val="00EA7AAE"/>
    <w:rsid w:val="00EB0038"/>
    <w:rsid w:val="00EB077B"/>
    <w:rsid w:val="00EB0E04"/>
    <w:rsid w:val="00EB2BC0"/>
    <w:rsid w:val="00EB456F"/>
    <w:rsid w:val="00EB4EA2"/>
    <w:rsid w:val="00EB51CF"/>
    <w:rsid w:val="00EB56B3"/>
    <w:rsid w:val="00EB7C2E"/>
    <w:rsid w:val="00EC0207"/>
    <w:rsid w:val="00EC0283"/>
    <w:rsid w:val="00EC0685"/>
    <w:rsid w:val="00EC1126"/>
    <w:rsid w:val="00EC1A51"/>
    <w:rsid w:val="00EC2610"/>
    <w:rsid w:val="00EC27C6"/>
    <w:rsid w:val="00EC2819"/>
    <w:rsid w:val="00EC2B97"/>
    <w:rsid w:val="00EC37E1"/>
    <w:rsid w:val="00EC4207"/>
    <w:rsid w:val="00EC4955"/>
    <w:rsid w:val="00EC50E2"/>
    <w:rsid w:val="00EC5653"/>
    <w:rsid w:val="00EC5EA9"/>
    <w:rsid w:val="00EC60F1"/>
    <w:rsid w:val="00EC67B6"/>
    <w:rsid w:val="00EC70EF"/>
    <w:rsid w:val="00EC71CE"/>
    <w:rsid w:val="00EC74E0"/>
    <w:rsid w:val="00EC7D0D"/>
    <w:rsid w:val="00ED1006"/>
    <w:rsid w:val="00ED15C4"/>
    <w:rsid w:val="00ED2617"/>
    <w:rsid w:val="00ED2E4E"/>
    <w:rsid w:val="00ED3644"/>
    <w:rsid w:val="00ED39FA"/>
    <w:rsid w:val="00ED3A4E"/>
    <w:rsid w:val="00ED5378"/>
    <w:rsid w:val="00ED5BB5"/>
    <w:rsid w:val="00ED5CCA"/>
    <w:rsid w:val="00ED7C35"/>
    <w:rsid w:val="00ED7CBF"/>
    <w:rsid w:val="00EE09F8"/>
    <w:rsid w:val="00EE1C64"/>
    <w:rsid w:val="00EE1CB4"/>
    <w:rsid w:val="00EE2241"/>
    <w:rsid w:val="00EE3617"/>
    <w:rsid w:val="00EE3BFB"/>
    <w:rsid w:val="00EE42E5"/>
    <w:rsid w:val="00EE5B5B"/>
    <w:rsid w:val="00EE6800"/>
    <w:rsid w:val="00EE75AF"/>
    <w:rsid w:val="00EE79C7"/>
    <w:rsid w:val="00EF18FE"/>
    <w:rsid w:val="00EF1D57"/>
    <w:rsid w:val="00EF2807"/>
    <w:rsid w:val="00EF3303"/>
    <w:rsid w:val="00EF3B61"/>
    <w:rsid w:val="00EF50E6"/>
    <w:rsid w:val="00EF5429"/>
    <w:rsid w:val="00EF5787"/>
    <w:rsid w:val="00EF57E5"/>
    <w:rsid w:val="00EF60D0"/>
    <w:rsid w:val="00EF6AE2"/>
    <w:rsid w:val="00EF7199"/>
    <w:rsid w:val="00EF7B53"/>
    <w:rsid w:val="00F00E1A"/>
    <w:rsid w:val="00F0175C"/>
    <w:rsid w:val="00F019C0"/>
    <w:rsid w:val="00F01E1B"/>
    <w:rsid w:val="00F04697"/>
    <w:rsid w:val="00F04798"/>
    <w:rsid w:val="00F04F5C"/>
    <w:rsid w:val="00F0528D"/>
    <w:rsid w:val="00F05568"/>
    <w:rsid w:val="00F05753"/>
    <w:rsid w:val="00F06497"/>
    <w:rsid w:val="00F06C67"/>
    <w:rsid w:val="00F06DFD"/>
    <w:rsid w:val="00F071D1"/>
    <w:rsid w:val="00F07533"/>
    <w:rsid w:val="00F0764C"/>
    <w:rsid w:val="00F10629"/>
    <w:rsid w:val="00F119AE"/>
    <w:rsid w:val="00F147E3"/>
    <w:rsid w:val="00F14F32"/>
    <w:rsid w:val="00F153CB"/>
    <w:rsid w:val="00F154BD"/>
    <w:rsid w:val="00F15849"/>
    <w:rsid w:val="00F15FA5"/>
    <w:rsid w:val="00F165A3"/>
    <w:rsid w:val="00F16982"/>
    <w:rsid w:val="00F16DA7"/>
    <w:rsid w:val="00F1783D"/>
    <w:rsid w:val="00F209B7"/>
    <w:rsid w:val="00F218FE"/>
    <w:rsid w:val="00F23094"/>
    <w:rsid w:val="00F2376F"/>
    <w:rsid w:val="00F23F73"/>
    <w:rsid w:val="00F243D8"/>
    <w:rsid w:val="00F2518D"/>
    <w:rsid w:val="00F267F6"/>
    <w:rsid w:val="00F27D31"/>
    <w:rsid w:val="00F30578"/>
    <w:rsid w:val="00F30828"/>
    <w:rsid w:val="00F313D6"/>
    <w:rsid w:val="00F31C8A"/>
    <w:rsid w:val="00F324B0"/>
    <w:rsid w:val="00F331CA"/>
    <w:rsid w:val="00F352D0"/>
    <w:rsid w:val="00F37EC0"/>
    <w:rsid w:val="00F409A8"/>
    <w:rsid w:val="00F40F0C"/>
    <w:rsid w:val="00F40FB0"/>
    <w:rsid w:val="00F417CC"/>
    <w:rsid w:val="00F417DC"/>
    <w:rsid w:val="00F42B5A"/>
    <w:rsid w:val="00F44DD8"/>
    <w:rsid w:val="00F44EBD"/>
    <w:rsid w:val="00F4524C"/>
    <w:rsid w:val="00F45406"/>
    <w:rsid w:val="00F456C6"/>
    <w:rsid w:val="00F45B1E"/>
    <w:rsid w:val="00F46C25"/>
    <w:rsid w:val="00F46C7E"/>
    <w:rsid w:val="00F46C92"/>
    <w:rsid w:val="00F46CE6"/>
    <w:rsid w:val="00F4766C"/>
    <w:rsid w:val="00F47881"/>
    <w:rsid w:val="00F503E5"/>
    <w:rsid w:val="00F50417"/>
    <w:rsid w:val="00F507D1"/>
    <w:rsid w:val="00F519CE"/>
    <w:rsid w:val="00F51ADA"/>
    <w:rsid w:val="00F523FB"/>
    <w:rsid w:val="00F53110"/>
    <w:rsid w:val="00F54103"/>
    <w:rsid w:val="00F54340"/>
    <w:rsid w:val="00F54515"/>
    <w:rsid w:val="00F549A2"/>
    <w:rsid w:val="00F55731"/>
    <w:rsid w:val="00F56404"/>
    <w:rsid w:val="00F56A31"/>
    <w:rsid w:val="00F5728F"/>
    <w:rsid w:val="00F607C5"/>
    <w:rsid w:val="00F60CEA"/>
    <w:rsid w:val="00F60D1C"/>
    <w:rsid w:val="00F60DEA"/>
    <w:rsid w:val="00F612AD"/>
    <w:rsid w:val="00F61E0D"/>
    <w:rsid w:val="00F6226C"/>
    <w:rsid w:val="00F6302A"/>
    <w:rsid w:val="00F63D97"/>
    <w:rsid w:val="00F64C2B"/>
    <w:rsid w:val="00F651BE"/>
    <w:rsid w:val="00F653F9"/>
    <w:rsid w:val="00F654CB"/>
    <w:rsid w:val="00F65788"/>
    <w:rsid w:val="00F65F34"/>
    <w:rsid w:val="00F65FDF"/>
    <w:rsid w:val="00F67C42"/>
    <w:rsid w:val="00F67F53"/>
    <w:rsid w:val="00F703BE"/>
    <w:rsid w:val="00F71F69"/>
    <w:rsid w:val="00F71FED"/>
    <w:rsid w:val="00F7216C"/>
    <w:rsid w:val="00F72602"/>
    <w:rsid w:val="00F72798"/>
    <w:rsid w:val="00F72B72"/>
    <w:rsid w:val="00F72DE4"/>
    <w:rsid w:val="00F73E82"/>
    <w:rsid w:val="00F73F54"/>
    <w:rsid w:val="00F74B09"/>
    <w:rsid w:val="00F74BB9"/>
    <w:rsid w:val="00F75582"/>
    <w:rsid w:val="00F76EFA"/>
    <w:rsid w:val="00F804BE"/>
    <w:rsid w:val="00F80FEA"/>
    <w:rsid w:val="00F817CE"/>
    <w:rsid w:val="00F82550"/>
    <w:rsid w:val="00F82CF4"/>
    <w:rsid w:val="00F83189"/>
    <w:rsid w:val="00F83993"/>
    <w:rsid w:val="00F8456C"/>
    <w:rsid w:val="00F858C5"/>
    <w:rsid w:val="00F859D8"/>
    <w:rsid w:val="00F8642C"/>
    <w:rsid w:val="00F868F5"/>
    <w:rsid w:val="00F90248"/>
    <w:rsid w:val="00F9056A"/>
    <w:rsid w:val="00F90BEC"/>
    <w:rsid w:val="00F90F8D"/>
    <w:rsid w:val="00F91917"/>
    <w:rsid w:val="00F91A81"/>
    <w:rsid w:val="00F9247D"/>
    <w:rsid w:val="00F92768"/>
    <w:rsid w:val="00F92782"/>
    <w:rsid w:val="00F92ACD"/>
    <w:rsid w:val="00F92D3B"/>
    <w:rsid w:val="00F93AA9"/>
    <w:rsid w:val="00F94E81"/>
    <w:rsid w:val="00F952A8"/>
    <w:rsid w:val="00F9591A"/>
    <w:rsid w:val="00F960A0"/>
    <w:rsid w:val="00F96985"/>
    <w:rsid w:val="00F96B98"/>
    <w:rsid w:val="00F96CB0"/>
    <w:rsid w:val="00F974E0"/>
    <w:rsid w:val="00F97506"/>
    <w:rsid w:val="00F97838"/>
    <w:rsid w:val="00F97ED5"/>
    <w:rsid w:val="00FA136A"/>
    <w:rsid w:val="00FA1B6E"/>
    <w:rsid w:val="00FA2285"/>
    <w:rsid w:val="00FA2BB3"/>
    <w:rsid w:val="00FA4460"/>
    <w:rsid w:val="00FA6F5A"/>
    <w:rsid w:val="00FA6F78"/>
    <w:rsid w:val="00FB1B5C"/>
    <w:rsid w:val="00FB4C80"/>
    <w:rsid w:val="00FB5F16"/>
    <w:rsid w:val="00FB6A41"/>
    <w:rsid w:val="00FB6A6A"/>
    <w:rsid w:val="00FB7588"/>
    <w:rsid w:val="00FC10C1"/>
    <w:rsid w:val="00FC12B9"/>
    <w:rsid w:val="00FC12C7"/>
    <w:rsid w:val="00FC29BE"/>
    <w:rsid w:val="00FC2EA8"/>
    <w:rsid w:val="00FC2F70"/>
    <w:rsid w:val="00FC3A07"/>
    <w:rsid w:val="00FC5BA1"/>
    <w:rsid w:val="00FC7429"/>
    <w:rsid w:val="00FC7595"/>
    <w:rsid w:val="00FC77F3"/>
    <w:rsid w:val="00FC78C0"/>
    <w:rsid w:val="00FC7DD7"/>
    <w:rsid w:val="00FD07F6"/>
    <w:rsid w:val="00FD0CAE"/>
    <w:rsid w:val="00FD1407"/>
    <w:rsid w:val="00FD1EC8"/>
    <w:rsid w:val="00FD1FFC"/>
    <w:rsid w:val="00FD3488"/>
    <w:rsid w:val="00FD3D63"/>
    <w:rsid w:val="00FD47ED"/>
    <w:rsid w:val="00FD6D1E"/>
    <w:rsid w:val="00FD74DB"/>
    <w:rsid w:val="00FD7660"/>
    <w:rsid w:val="00FD788B"/>
    <w:rsid w:val="00FD7DE2"/>
    <w:rsid w:val="00FE057D"/>
    <w:rsid w:val="00FE0655"/>
    <w:rsid w:val="00FE09E0"/>
    <w:rsid w:val="00FE0D6C"/>
    <w:rsid w:val="00FE1477"/>
    <w:rsid w:val="00FE1E66"/>
    <w:rsid w:val="00FE2365"/>
    <w:rsid w:val="00FE38DA"/>
    <w:rsid w:val="00FE4C7B"/>
    <w:rsid w:val="00FE4DBA"/>
    <w:rsid w:val="00FE524C"/>
    <w:rsid w:val="00FE5B7B"/>
    <w:rsid w:val="00FE5F79"/>
    <w:rsid w:val="00FE7336"/>
    <w:rsid w:val="00FE749F"/>
    <w:rsid w:val="00FE787C"/>
    <w:rsid w:val="00FF0679"/>
    <w:rsid w:val="00FF08CC"/>
    <w:rsid w:val="00FF0A52"/>
    <w:rsid w:val="00FF3E5D"/>
    <w:rsid w:val="00FF417B"/>
    <w:rsid w:val="00FF45A5"/>
    <w:rsid w:val="00FF471D"/>
    <w:rsid w:val="00FF59DD"/>
    <w:rsid w:val="00FF5C91"/>
    <w:rsid w:val="00FF6526"/>
    <w:rsid w:val="00FF78E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1CF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11C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CF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Theme="minorHAnsi" w:eastAsiaTheme="minorHAnsi" w:hAnsiTheme="minorHAnsi" w:cstheme="minorBidi"/>
      <w:sz w:val="22"/>
      <w:szCs w:val="22"/>
    </w:rPr>
  </w:style>
  <w:style w:type="table" w:styleId="TableGrid">
    <w:name w:val="Table Grid"/>
    <w:basedOn w:val="TableNormal"/>
    <w:rsid w:val="00DF4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39F"/>
    <w:rPr>
      <w:color w:val="808080"/>
    </w:rPr>
  </w:style>
  <w:style w:type="character" w:styleId="UnresolvedMention">
    <w:name w:val="Unresolved Mention"/>
    <w:basedOn w:val="DefaultParagraphFont"/>
    <w:uiPriority w:val="99"/>
    <w:semiHidden/>
    <w:unhideWhenUsed/>
    <w:rsid w:val="000B1C13"/>
    <w:rPr>
      <w:color w:val="808080"/>
      <w:shd w:val="clear" w:color="auto" w:fill="E6E6E6"/>
    </w:rPr>
  </w:style>
  <w:style w:type="paragraph" w:styleId="ListParagraph">
    <w:name w:val="List Paragraph"/>
    <w:basedOn w:val="Normal"/>
    <w:uiPriority w:val="34"/>
    <w:qFormat/>
    <w:rsid w:val="008275C2"/>
    <w:pPr>
      <w:ind w:left="720"/>
      <w:contextualSpacing/>
    </w:pPr>
  </w:style>
  <w:style w:type="paragraph" w:customStyle="1" w:styleId="TdocHeading1">
    <w:name w:val="Tdoc_Heading_1"/>
    <w:basedOn w:val="Heading1"/>
    <w:next w:val="BodyText"/>
    <w:autoRedefine/>
    <w:rsid w:val="00CB58FF"/>
    <w:pPr>
      <w:keepLines w:val="0"/>
      <w:numPr>
        <w:numId w:val="11"/>
      </w:numPr>
      <w:pBdr>
        <w:top w:val="double" w:sz="4" w:space="1" w:color="auto"/>
        <w:left w:val="double" w:sz="4" w:space="4" w:color="auto"/>
        <w:bottom w:val="double" w:sz="4" w:space="1" w:color="auto"/>
        <w:right w:val="double" w:sz="4" w:space="4" w:color="auto"/>
      </w:pBdr>
      <w:shd w:val="clear" w:color="auto" w:fill="BF8F00" w:themeFill="accent4" w:themeFillShade="BF"/>
      <w:tabs>
        <w:tab w:val="center" w:pos="9000"/>
      </w:tabs>
      <w:overflowPunct/>
      <w:autoSpaceDE/>
      <w:autoSpaceDN/>
      <w:adjustRightInd/>
      <w:spacing w:after="120"/>
      <w:ind w:left="357" w:hanging="357"/>
      <w:textAlignment w:val="auto"/>
    </w:pPr>
    <w:rPr>
      <w:rFonts w:eastAsia="Batang" w:cs="Times New Roman"/>
      <w:noProof/>
      <w:color w:val="FFFFFF" w:themeColor="background1"/>
      <w:kern w:val="28"/>
      <w:sz w:val="24"/>
      <w:szCs w:val="20"/>
      <w:lang w:val="en-US" w:eastAsia="en-US"/>
    </w:rPr>
  </w:style>
  <w:style w:type="character" w:styleId="Strong">
    <w:name w:val="Strong"/>
    <w:basedOn w:val="DefaultParagraphFont"/>
    <w:qFormat/>
    <w:rsid w:val="009B1B39"/>
    <w:rPr>
      <w:b/>
      <w:bCs/>
    </w:rPr>
  </w:style>
  <w:style w:type="paragraph" w:styleId="Revision">
    <w:name w:val="Revision"/>
    <w:hidden/>
    <w:uiPriority w:val="99"/>
    <w:semiHidden/>
    <w:rsid w:val="0076766E"/>
    <w:rPr>
      <w:rFonts w:asciiTheme="minorHAnsi" w:eastAsiaTheme="minorHAnsi" w:hAnsiTheme="minorHAnsi" w:cstheme="minorBidi"/>
      <w:sz w:val="22"/>
      <w:szCs w:val="22"/>
    </w:rPr>
  </w:style>
  <w:style w:type="paragraph" w:customStyle="1" w:styleId="Review">
    <w:name w:val="Review"/>
    <w:basedOn w:val="Normal"/>
    <w:qFormat/>
    <w:rsid w:val="003767D5"/>
    <w:pPr>
      <w:shd w:val="clear" w:color="auto" w:fill="FFFFF0"/>
      <w:spacing w:before="40" w:after="0" w:line="240" w:lineRule="auto"/>
      <w:ind w:left="216" w:hanging="216"/>
    </w:pPr>
    <w:rPr>
      <w:rFonts w:ascii="Times New Roman" w:eastAsia="Batang" w:hAnsi="Times New Roman" w:cs="Times New Roman"/>
      <w:color w:val="5000FF"/>
      <w:sz w:val="20"/>
      <w:szCs w:val="24"/>
      <w:lang w:val="en-GB"/>
    </w:rPr>
  </w:style>
  <w:style w:type="table" w:customStyle="1" w:styleId="TableGrid1">
    <w:name w:val="Table Grid1"/>
    <w:basedOn w:val="TableNormal"/>
    <w:next w:val="TableGrid"/>
    <w:uiPriority w:val="39"/>
    <w:rsid w:val="00041DF6"/>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1593">
      <w:bodyDiv w:val="1"/>
      <w:marLeft w:val="0"/>
      <w:marRight w:val="0"/>
      <w:marTop w:val="0"/>
      <w:marBottom w:val="0"/>
      <w:divBdr>
        <w:top w:val="none" w:sz="0" w:space="0" w:color="auto"/>
        <w:left w:val="none" w:sz="0" w:space="0" w:color="auto"/>
        <w:bottom w:val="none" w:sz="0" w:space="0" w:color="auto"/>
        <w:right w:val="none" w:sz="0" w:space="0" w:color="auto"/>
      </w:divBdr>
    </w:div>
    <w:div w:id="25564342">
      <w:bodyDiv w:val="1"/>
      <w:marLeft w:val="0"/>
      <w:marRight w:val="0"/>
      <w:marTop w:val="0"/>
      <w:marBottom w:val="0"/>
      <w:divBdr>
        <w:top w:val="none" w:sz="0" w:space="0" w:color="auto"/>
        <w:left w:val="none" w:sz="0" w:space="0" w:color="auto"/>
        <w:bottom w:val="none" w:sz="0" w:space="0" w:color="auto"/>
        <w:right w:val="none" w:sz="0" w:space="0" w:color="auto"/>
      </w:divBdr>
    </w:div>
    <w:div w:id="69158409">
      <w:bodyDiv w:val="1"/>
      <w:marLeft w:val="0"/>
      <w:marRight w:val="0"/>
      <w:marTop w:val="0"/>
      <w:marBottom w:val="0"/>
      <w:divBdr>
        <w:top w:val="none" w:sz="0" w:space="0" w:color="auto"/>
        <w:left w:val="none" w:sz="0" w:space="0" w:color="auto"/>
        <w:bottom w:val="none" w:sz="0" w:space="0" w:color="auto"/>
        <w:right w:val="none" w:sz="0" w:space="0" w:color="auto"/>
      </w:divBdr>
    </w:div>
    <w:div w:id="105200220">
      <w:bodyDiv w:val="1"/>
      <w:marLeft w:val="0"/>
      <w:marRight w:val="0"/>
      <w:marTop w:val="0"/>
      <w:marBottom w:val="0"/>
      <w:divBdr>
        <w:top w:val="none" w:sz="0" w:space="0" w:color="auto"/>
        <w:left w:val="none" w:sz="0" w:space="0" w:color="auto"/>
        <w:bottom w:val="none" w:sz="0" w:space="0" w:color="auto"/>
        <w:right w:val="none" w:sz="0" w:space="0" w:color="auto"/>
      </w:divBdr>
    </w:div>
    <w:div w:id="109589498">
      <w:bodyDiv w:val="1"/>
      <w:marLeft w:val="0"/>
      <w:marRight w:val="0"/>
      <w:marTop w:val="0"/>
      <w:marBottom w:val="0"/>
      <w:divBdr>
        <w:top w:val="none" w:sz="0" w:space="0" w:color="auto"/>
        <w:left w:val="none" w:sz="0" w:space="0" w:color="auto"/>
        <w:bottom w:val="none" w:sz="0" w:space="0" w:color="auto"/>
        <w:right w:val="none" w:sz="0" w:space="0" w:color="auto"/>
      </w:divBdr>
    </w:div>
    <w:div w:id="112985582">
      <w:bodyDiv w:val="1"/>
      <w:marLeft w:val="0"/>
      <w:marRight w:val="0"/>
      <w:marTop w:val="0"/>
      <w:marBottom w:val="0"/>
      <w:divBdr>
        <w:top w:val="none" w:sz="0" w:space="0" w:color="auto"/>
        <w:left w:val="none" w:sz="0" w:space="0" w:color="auto"/>
        <w:bottom w:val="none" w:sz="0" w:space="0" w:color="auto"/>
        <w:right w:val="none" w:sz="0" w:space="0" w:color="auto"/>
      </w:divBdr>
    </w:div>
    <w:div w:id="126363502">
      <w:bodyDiv w:val="1"/>
      <w:marLeft w:val="0"/>
      <w:marRight w:val="0"/>
      <w:marTop w:val="0"/>
      <w:marBottom w:val="0"/>
      <w:divBdr>
        <w:top w:val="none" w:sz="0" w:space="0" w:color="auto"/>
        <w:left w:val="none" w:sz="0" w:space="0" w:color="auto"/>
        <w:bottom w:val="none" w:sz="0" w:space="0" w:color="auto"/>
        <w:right w:val="none" w:sz="0" w:space="0" w:color="auto"/>
      </w:divBdr>
    </w:div>
    <w:div w:id="126557455">
      <w:bodyDiv w:val="1"/>
      <w:marLeft w:val="0"/>
      <w:marRight w:val="0"/>
      <w:marTop w:val="0"/>
      <w:marBottom w:val="0"/>
      <w:divBdr>
        <w:top w:val="none" w:sz="0" w:space="0" w:color="auto"/>
        <w:left w:val="none" w:sz="0" w:space="0" w:color="auto"/>
        <w:bottom w:val="none" w:sz="0" w:space="0" w:color="auto"/>
        <w:right w:val="none" w:sz="0" w:space="0" w:color="auto"/>
      </w:divBdr>
    </w:div>
    <w:div w:id="205290110">
      <w:bodyDiv w:val="1"/>
      <w:marLeft w:val="0"/>
      <w:marRight w:val="0"/>
      <w:marTop w:val="0"/>
      <w:marBottom w:val="0"/>
      <w:divBdr>
        <w:top w:val="none" w:sz="0" w:space="0" w:color="auto"/>
        <w:left w:val="none" w:sz="0" w:space="0" w:color="auto"/>
        <w:bottom w:val="none" w:sz="0" w:space="0" w:color="auto"/>
        <w:right w:val="none" w:sz="0" w:space="0" w:color="auto"/>
      </w:divBdr>
    </w:div>
    <w:div w:id="210849771">
      <w:bodyDiv w:val="1"/>
      <w:marLeft w:val="0"/>
      <w:marRight w:val="0"/>
      <w:marTop w:val="0"/>
      <w:marBottom w:val="0"/>
      <w:divBdr>
        <w:top w:val="none" w:sz="0" w:space="0" w:color="auto"/>
        <w:left w:val="none" w:sz="0" w:space="0" w:color="auto"/>
        <w:bottom w:val="none" w:sz="0" w:space="0" w:color="auto"/>
        <w:right w:val="none" w:sz="0" w:space="0" w:color="auto"/>
      </w:divBdr>
    </w:div>
    <w:div w:id="215968607">
      <w:bodyDiv w:val="1"/>
      <w:marLeft w:val="0"/>
      <w:marRight w:val="0"/>
      <w:marTop w:val="0"/>
      <w:marBottom w:val="0"/>
      <w:divBdr>
        <w:top w:val="none" w:sz="0" w:space="0" w:color="auto"/>
        <w:left w:val="none" w:sz="0" w:space="0" w:color="auto"/>
        <w:bottom w:val="none" w:sz="0" w:space="0" w:color="auto"/>
        <w:right w:val="none" w:sz="0" w:space="0" w:color="auto"/>
      </w:divBdr>
    </w:div>
    <w:div w:id="218830349">
      <w:bodyDiv w:val="1"/>
      <w:marLeft w:val="0"/>
      <w:marRight w:val="0"/>
      <w:marTop w:val="0"/>
      <w:marBottom w:val="0"/>
      <w:divBdr>
        <w:top w:val="none" w:sz="0" w:space="0" w:color="auto"/>
        <w:left w:val="none" w:sz="0" w:space="0" w:color="auto"/>
        <w:bottom w:val="none" w:sz="0" w:space="0" w:color="auto"/>
        <w:right w:val="none" w:sz="0" w:space="0" w:color="auto"/>
      </w:divBdr>
    </w:div>
    <w:div w:id="244151793">
      <w:bodyDiv w:val="1"/>
      <w:marLeft w:val="0"/>
      <w:marRight w:val="0"/>
      <w:marTop w:val="0"/>
      <w:marBottom w:val="0"/>
      <w:divBdr>
        <w:top w:val="none" w:sz="0" w:space="0" w:color="auto"/>
        <w:left w:val="none" w:sz="0" w:space="0" w:color="auto"/>
        <w:bottom w:val="none" w:sz="0" w:space="0" w:color="auto"/>
        <w:right w:val="none" w:sz="0" w:space="0" w:color="auto"/>
      </w:divBdr>
    </w:div>
    <w:div w:id="247347654">
      <w:bodyDiv w:val="1"/>
      <w:marLeft w:val="0"/>
      <w:marRight w:val="0"/>
      <w:marTop w:val="0"/>
      <w:marBottom w:val="0"/>
      <w:divBdr>
        <w:top w:val="none" w:sz="0" w:space="0" w:color="auto"/>
        <w:left w:val="none" w:sz="0" w:space="0" w:color="auto"/>
        <w:bottom w:val="none" w:sz="0" w:space="0" w:color="auto"/>
        <w:right w:val="none" w:sz="0" w:space="0" w:color="auto"/>
      </w:divBdr>
    </w:div>
    <w:div w:id="254485755">
      <w:bodyDiv w:val="1"/>
      <w:marLeft w:val="0"/>
      <w:marRight w:val="0"/>
      <w:marTop w:val="0"/>
      <w:marBottom w:val="0"/>
      <w:divBdr>
        <w:top w:val="none" w:sz="0" w:space="0" w:color="auto"/>
        <w:left w:val="none" w:sz="0" w:space="0" w:color="auto"/>
        <w:bottom w:val="none" w:sz="0" w:space="0" w:color="auto"/>
        <w:right w:val="none" w:sz="0" w:space="0" w:color="auto"/>
      </w:divBdr>
    </w:div>
    <w:div w:id="316765582">
      <w:bodyDiv w:val="1"/>
      <w:marLeft w:val="0"/>
      <w:marRight w:val="0"/>
      <w:marTop w:val="0"/>
      <w:marBottom w:val="0"/>
      <w:divBdr>
        <w:top w:val="none" w:sz="0" w:space="0" w:color="auto"/>
        <w:left w:val="none" w:sz="0" w:space="0" w:color="auto"/>
        <w:bottom w:val="none" w:sz="0" w:space="0" w:color="auto"/>
        <w:right w:val="none" w:sz="0" w:space="0" w:color="auto"/>
      </w:divBdr>
    </w:div>
    <w:div w:id="334309320">
      <w:bodyDiv w:val="1"/>
      <w:marLeft w:val="0"/>
      <w:marRight w:val="0"/>
      <w:marTop w:val="0"/>
      <w:marBottom w:val="0"/>
      <w:divBdr>
        <w:top w:val="none" w:sz="0" w:space="0" w:color="auto"/>
        <w:left w:val="none" w:sz="0" w:space="0" w:color="auto"/>
        <w:bottom w:val="none" w:sz="0" w:space="0" w:color="auto"/>
        <w:right w:val="none" w:sz="0" w:space="0" w:color="auto"/>
      </w:divBdr>
    </w:div>
    <w:div w:id="336150945">
      <w:bodyDiv w:val="1"/>
      <w:marLeft w:val="0"/>
      <w:marRight w:val="0"/>
      <w:marTop w:val="0"/>
      <w:marBottom w:val="0"/>
      <w:divBdr>
        <w:top w:val="none" w:sz="0" w:space="0" w:color="auto"/>
        <w:left w:val="none" w:sz="0" w:space="0" w:color="auto"/>
        <w:bottom w:val="none" w:sz="0" w:space="0" w:color="auto"/>
        <w:right w:val="none" w:sz="0" w:space="0" w:color="auto"/>
      </w:divBdr>
    </w:div>
    <w:div w:id="415059661">
      <w:bodyDiv w:val="1"/>
      <w:marLeft w:val="0"/>
      <w:marRight w:val="0"/>
      <w:marTop w:val="0"/>
      <w:marBottom w:val="0"/>
      <w:divBdr>
        <w:top w:val="none" w:sz="0" w:space="0" w:color="auto"/>
        <w:left w:val="none" w:sz="0" w:space="0" w:color="auto"/>
        <w:bottom w:val="none" w:sz="0" w:space="0" w:color="auto"/>
        <w:right w:val="none" w:sz="0" w:space="0" w:color="auto"/>
      </w:divBdr>
    </w:div>
    <w:div w:id="436095921">
      <w:bodyDiv w:val="1"/>
      <w:marLeft w:val="0"/>
      <w:marRight w:val="0"/>
      <w:marTop w:val="0"/>
      <w:marBottom w:val="0"/>
      <w:divBdr>
        <w:top w:val="none" w:sz="0" w:space="0" w:color="auto"/>
        <w:left w:val="none" w:sz="0" w:space="0" w:color="auto"/>
        <w:bottom w:val="none" w:sz="0" w:space="0" w:color="auto"/>
        <w:right w:val="none" w:sz="0" w:space="0" w:color="auto"/>
      </w:divBdr>
    </w:div>
    <w:div w:id="442577250">
      <w:bodyDiv w:val="1"/>
      <w:marLeft w:val="0"/>
      <w:marRight w:val="0"/>
      <w:marTop w:val="0"/>
      <w:marBottom w:val="0"/>
      <w:divBdr>
        <w:top w:val="none" w:sz="0" w:space="0" w:color="auto"/>
        <w:left w:val="none" w:sz="0" w:space="0" w:color="auto"/>
        <w:bottom w:val="none" w:sz="0" w:space="0" w:color="auto"/>
        <w:right w:val="none" w:sz="0" w:space="0" w:color="auto"/>
      </w:divBdr>
    </w:div>
    <w:div w:id="445467820">
      <w:bodyDiv w:val="1"/>
      <w:marLeft w:val="0"/>
      <w:marRight w:val="0"/>
      <w:marTop w:val="0"/>
      <w:marBottom w:val="0"/>
      <w:divBdr>
        <w:top w:val="none" w:sz="0" w:space="0" w:color="auto"/>
        <w:left w:val="none" w:sz="0" w:space="0" w:color="auto"/>
        <w:bottom w:val="none" w:sz="0" w:space="0" w:color="auto"/>
        <w:right w:val="none" w:sz="0" w:space="0" w:color="auto"/>
      </w:divBdr>
    </w:div>
    <w:div w:id="490801838">
      <w:bodyDiv w:val="1"/>
      <w:marLeft w:val="0"/>
      <w:marRight w:val="0"/>
      <w:marTop w:val="0"/>
      <w:marBottom w:val="0"/>
      <w:divBdr>
        <w:top w:val="none" w:sz="0" w:space="0" w:color="auto"/>
        <w:left w:val="none" w:sz="0" w:space="0" w:color="auto"/>
        <w:bottom w:val="none" w:sz="0" w:space="0" w:color="auto"/>
        <w:right w:val="none" w:sz="0" w:space="0" w:color="auto"/>
      </w:divBdr>
    </w:div>
    <w:div w:id="537744673">
      <w:bodyDiv w:val="1"/>
      <w:marLeft w:val="0"/>
      <w:marRight w:val="0"/>
      <w:marTop w:val="0"/>
      <w:marBottom w:val="0"/>
      <w:divBdr>
        <w:top w:val="none" w:sz="0" w:space="0" w:color="auto"/>
        <w:left w:val="none" w:sz="0" w:space="0" w:color="auto"/>
        <w:bottom w:val="none" w:sz="0" w:space="0" w:color="auto"/>
        <w:right w:val="none" w:sz="0" w:space="0" w:color="auto"/>
      </w:divBdr>
    </w:div>
    <w:div w:id="568031267">
      <w:bodyDiv w:val="1"/>
      <w:marLeft w:val="0"/>
      <w:marRight w:val="0"/>
      <w:marTop w:val="0"/>
      <w:marBottom w:val="0"/>
      <w:divBdr>
        <w:top w:val="none" w:sz="0" w:space="0" w:color="auto"/>
        <w:left w:val="none" w:sz="0" w:space="0" w:color="auto"/>
        <w:bottom w:val="none" w:sz="0" w:space="0" w:color="auto"/>
        <w:right w:val="none" w:sz="0" w:space="0" w:color="auto"/>
      </w:divBdr>
    </w:div>
    <w:div w:id="607783592">
      <w:bodyDiv w:val="1"/>
      <w:marLeft w:val="0"/>
      <w:marRight w:val="0"/>
      <w:marTop w:val="0"/>
      <w:marBottom w:val="0"/>
      <w:divBdr>
        <w:top w:val="none" w:sz="0" w:space="0" w:color="auto"/>
        <w:left w:val="none" w:sz="0" w:space="0" w:color="auto"/>
        <w:bottom w:val="none" w:sz="0" w:space="0" w:color="auto"/>
        <w:right w:val="none" w:sz="0" w:space="0" w:color="auto"/>
      </w:divBdr>
    </w:div>
    <w:div w:id="622659134">
      <w:bodyDiv w:val="1"/>
      <w:marLeft w:val="0"/>
      <w:marRight w:val="0"/>
      <w:marTop w:val="0"/>
      <w:marBottom w:val="0"/>
      <w:divBdr>
        <w:top w:val="none" w:sz="0" w:space="0" w:color="auto"/>
        <w:left w:val="none" w:sz="0" w:space="0" w:color="auto"/>
        <w:bottom w:val="none" w:sz="0" w:space="0" w:color="auto"/>
        <w:right w:val="none" w:sz="0" w:space="0" w:color="auto"/>
      </w:divBdr>
    </w:div>
    <w:div w:id="649986534">
      <w:bodyDiv w:val="1"/>
      <w:marLeft w:val="0"/>
      <w:marRight w:val="0"/>
      <w:marTop w:val="0"/>
      <w:marBottom w:val="0"/>
      <w:divBdr>
        <w:top w:val="none" w:sz="0" w:space="0" w:color="auto"/>
        <w:left w:val="none" w:sz="0" w:space="0" w:color="auto"/>
        <w:bottom w:val="none" w:sz="0" w:space="0" w:color="auto"/>
        <w:right w:val="none" w:sz="0" w:space="0" w:color="auto"/>
      </w:divBdr>
    </w:div>
    <w:div w:id="652562682">
      <w:bodyDiv w:val="1"/>
      <w:marLeft w:val="0"/>
      <w:marRight w:val="0"/>
      <w:marTop w:val="0"/>
      <w:marBottom w:val="0"/>
      <w:divBdr>
        <w:top w:val="none" w:sz="0" w:space="0" w:color="auto"/>
        <w:left w:val="none" w:sz="0" w:space="0" w:color="auto"/>
        <w:bottom w:val="none" w:sz="0" w:space="0" w:color="auto"/>
        <w:right w:val="none" w:sz="0" w:space="0" w:color="auto"/>
      </w:divBdr>
    </w:div>
    <w:div w:id="663969510">
      <w:bodyDiv w:val="1"/>
      <w:marLeft w:val="0"/>
      <w:marRight w:val="0"/>
      <w:marTop w:val="0"/>
      <w:marBottom w:val="0"/>
      <w:divBdr>
        <w:top w:val="none" w:sz="0" w:space="0" w:color="auto"/>
        <w:left w:val="none" w:sz="0" w:space="0" w:color="auto"/>
        <w:bottom w:val="none" w:sz="0" w:space="0" w:color="auto"/>
        <w:right w:val="none" w:sz="0" w:space="0" w:color="auto"/>
      </w:divBdr>
    </w:div>
    <w:div w:id="684743556">
      <w:bodyDiv w:val="1"/>
      <w:marLeft w:val="0"/>
      <w:marRight w:val="0"/>
      <w:marTop w:val="0"/>
      <w:marBottom w:val="0"/>
      <w:divBdr>
        <w:top w:val="none" w:sz="0" w:space="0" w:color="auto"/>
        <w:left w:val="none" w:sz="0" w:space="0" w:color="auto"/>
        <w:bottom w:val="none" w:sz="0" w:space="0" w:color="auto"/>
        <w:right w:val="none" w:sz="0" w:space="0" w:color="auto"/>
      </w:divBdr>
    </w:div>
    <w:div w:id="685250525">
      <w:bodyDiv w:val="1"/>
      <w:marLeft w:val="0"/>
      <w:marRight w:val="0"/>
      <w:marTop w:val="0"/>
      <w:marBottom w:val="0"/>
      <w:divBdr>
        <w:top w:val="none" w:sz="0" w:space="0" w:color="auto"/>
        <w:left w:val="none" w:sz="0" w:space="0" w:color="auto"/>
        <w:bottom w:val="none" w:sz="0" w:space="0" w:color="auto"/>
        <w:right w:val="none" w:sz="0" w:space="0" w:color="auto"/>
      </w:divBdr>
    </w:div>
    <w:div w:id="715202635">
      <w:bodyDiv w:val="1"/>
      <w:marLeft w:val="0"/>
      <w:marRight w:val="0"/>
      <w:marTop w:val="0"/>
      <w:marBottom w:val="0"/>
      <w:divBdr>
        <w:top w:val="none" w:sz="0" w:space="0" w:color="auto"/>
        <w:left w:val="none" w:sz="0" w:space="0" w:color="auto"/>
        <w:bottom w:val="none" w:sz="0" w:space="0" w:color="auto"/>
        <w:right w:val="none" w:sz="0" w:space="0" w:color="auto"/>
      </w:divBdr>
    </w:div>
    <w:div w:id="732198782">
      <w:bodyDiv w:val="1"/>
      <w:marLeft w:val="0"/>
      <w:marRight w:val="0"/>
      <w:marTop w:val="0"/>
      <w:marBottom w:val="0"/>
      <w:divBdr>
        <w:top w:val="none" w:sz="0" w:space="0" w:color="auto"/>
        <w:left w:val="none" w:sz="0" w:space="0" w:color="auto"/>
        <w:bottom w:val="none" w:sz="0" w:space="0" w:color="auto"/>
        <w:right w:val="none" w:sz="0" w:space="0" w:color="auto"/>
      </w:divBdr>
    </w:div>
    <w:div w:id="743062590">
      <w:bodyDiv w:val="1"/>
      <w:marLeft w:val="0"/>
      <w:marRight w:val="0"/>
      <w:marTop w:val="0"/>
      <w:marBottom w:val="0"/>
      <w:divBdr>
        <w:top w:val="none" w:sz="0" w:space="0" w:color="auto"/>
        <w:left w:val="none" w:sz="0" w:space="0" w:color="auto"/>
        <w:bottom w:val="none" w:sz="0" w:space="0" w:color="auto"/>
        <w:right w:val="none" w:sz="0" w:space="0" w:color="auto"/>
      </w:divBdr>
    </w:div>
    <w:div w:id="744105726">
      <w:bodyDiv w:val="1"/>
      <w:marLeft w:val="0"/>
      <w:marRight w:val="0"/>
      <w:marTop w:val="0"/>
      <w:marBottom w:val="0"/>
      <w:divBdr>
        <w:top w:val="none" w:sz="0" w:space="0" w:color="auto"/>
        <w:left w:val="none" w:sz="0" w:space="0" w:color="auto"/>
        <w:bottom w:val="none" w:sz="0" w:space="0" w:color="auto"/>
        <w:right w:val="none" w:sz="0" w:space="0" w:color="auto"/>
      </w:divBdr>
    </w:div>
    <w:div w:id="773525231">
      <w:bodyDiv w:val="1"/>
      <w:marLeft w:val="0"/>
      <w:marRight w:val="0"/>
      <w:marTop w:val="0"/>
      <w:marBottom w:val="0"/>
      <w:divBdr>
        <w:top w:val="none" w:sz="0" w:space="0" w:color="auto"/>
        <w:left w:val="none" w:sz="0" w:space="0" w:color="auto"/>
        <w:bottom w:val="none" w:sz="0" w:space="0" w:color="auto"/>
        <w:right w:val="none" w:sz="0" w:space="0" w:color="auto"/>
      </w:divBdr>
    </w:div>
    <w:div w:id="812523234">
      <w:bodyDiv w:val="1"/>
      <w:marLeft w:val="0"/>
      <w:marRight w:val="0"/>
      <w:marTop w:val="0"/>
      <w:marBottom w:val="0"/>
      <w:divBdr>
        <w:top w:val="none" w:sz="0" w:space="0" w:color="auto"/>
        <w:left w:val="none" w:sz="0" w:space="0" w:color="auto"/>
        <w:bottom w:val="none" w:sz="0" w:space="0" w:color="auto"/>
        <w:right w:val="none" w:sz="0" w:space="0" w:color="auto"/>
      </w:divBdr>
    </w:div>
    <w:div w:id="849493326">
      <w:bodyDiv w:val="1"/>
      <w:marLeft w:val="0"/>
      <w:marRight w:val="0"/>
      <w:marTop w:val="0"/>
      <w:marBottom w:val="0"/>
      <w:divBdr>
        <w:top w:val="none" w:sz="0" w:space="0" w:color="auto"/>
        <w:left w:val="none" w:sz="0" w:space="0" w:color="auto"/>
        <w:bottom w:val="none" w:sz="0" w:space="0" w:color="auto"/>
        <w:right w:val="none" w:sz="0" w:space="0" w:color="auto"/>
      </w:divBdr>
    </w:div>
    <w:div w:id="856188668">
      <w:bodyDiv w:val="1"/>
      <w:marLeft w:val="0"/>
      <w:marRight w:val="0"/>
      <w:marTop w:val="0"/>
      <w:marBottom w:val="0"/>
      <w:divBdr>
        <w:top w:val="none" w:sz="0" w:space="0" w:color="auto"/>
        <w:left w:val="none" w:sz="0" w:space="0" w:color="auto"/>
        <w:bottom w:val="none" w:sz="0" w:space="0" w:color="auto"/>
        <w:right w:val="none" w:sz="0" w:space="0" w:color="auto"/>
      </w:divBdr>
    </w:div>
    <w:div w:id="865024181">
      <w:bodyDiv w:val="1"/>
      <w:marLeft w:val="0"/>
      <w:marRight w:val="0"/>
      <w:marTop w:val="0"/>
      <w:marBottom w:val="0"/>
      <w:divBdr>
        <w:top w:val="none" w:sz="0" w:space="0" w:color="auto"/>
        <w:left w:val="none" w:sz="0" w:space="0" w:color="auto"/>
        <w:bottom w:val="none" w:sz="0" w:space="0" w:color="auto"/>
        <w:right w:val="none" w:sz="0" w:space="0" w:color="auto"/>
      </w:divBdr>
    </w:div>
    <w:div w:id="889997145">
      <w:bodyDiv w:val="1"/>
      <w:marLeft w:val="0"/>
      <w:marRight w:val="0"/>
      <w:marTop w:val="0"/>
      <w:marBottom w:val="0"/>
      <w:divBdr>
        <w:top w:val="none" w:sz="0" w:space="0" w:color="auto"/>
        <w:left w:val="none" w:sz="0" w:space="0" w:color="auto"/>
        <w:bottom w:val="none" w:sz="0" w:space="0" w:color="auto"/>
        <w:right w:val="none" w:sz="0" w:space="0" w:color="auto"/>
      </w:divBdr>
    </w:div>
    <w:div w:id="897397022">
      <w:bodyDiv w:val="1"/>
      <w:marLeft w:val="0"/>
      <w:marRight w:val="0"/>
      <w:marTop w:val="0"/>
      <w:marBottom w:val="0"/>
      <w:divBdr>
        <w:top w:val="none" w:sz="0" w:space="0" w:color="auto"/>
        <w:left w:val="none" w:sz="0" w:space="0" w:color="auto"/>
        <w:bottom w:val="none" w:sz="0" w:space="0" w:color="auto"/>
        <w:right w:val="none" w:sz="0" w:space="0" w:color="auto"/>
      </w:divBdr>
    </w:div>
    <w:div w:id="919825684">
      <w:bodyDiv w:val="1"/>
      <w:marLeft w:val="0"/>
      <w:marRight w:val="0"/>
      <w:marTop w:val="0"/>
      <w:marBottom w:val="0"/>
      <w:divBdr>
        <w:top w:val="none" w:sz="0" w:space="0" w:color="auto"/>
        <w:left w:val="none" w:sz="0" w:space="0" w:color="auto"/>
        <w:bottom w:val="none" w:sz="0" w:space="0" w:color="auto"/>
        <w:right w:val="none" w:sz="0" w:space="0" w:color="auto"/>
      </w:divBdr>
    </w:div>
    <w:div w:id="928468359">
      <w:bodyDiv w:val="1"/>
      <w:marLeft w:val="0"/>
      <w:marRight w:val="0"/>
      <w:marTop w:val="0"/>
      <w:marBottom w:val="0"/>
      <w:divBdr>
        <w:top w:val="none" w:sz="0" w:space="0" w:color="auto"/>
        <w:left w:val="none" w:sz="0" w:space="0" w:color="auto"/>
        <w:bottom w:val="none" w:sz="0" w:space="0" w:color="auto"/>
        <w:right w:val="none" w:sz="0" w:space="0" w:color="auto"/>
      </w:divBdr>
    </w:div>
    <w:div w:id="948968259">
      <w:bodyDiv w:val="1"/>
      <w:marLeft w:val="0"/>
      <w:marRight w:val="0"/>
      <w:marTop w:val="0"/>
      <w:marBottom w:val="0"/>
      <w:divBdr>
        <w:top w:val="none" w:sz="0" w:space="0" w:color="auto"/>
        <w:left w:val="none" w:sz="0" w:space="0" w:color="auto"/>
        <w:bottom w:val="none" w:sz="0" w:space="0" w:color="auto"/>
        <w:right w:val="none" w:sz="0" w:space="0" w:color="auto"/>
      </w:divBdr>
    </w:div>
    <w:div w:id="968318257">
      <w:bodyDiv w:val="1"/>
      <w:marLeft w:val="0"/>
      <w:marRight w:val="0"/>
      <w:marTop w:val="0"/>
      <w:marBottom w:val="0"/>
      <w:divBdr>
        <w:top w:val="none" w:sz="0" w:space="0" w:color="auto"/>
        <w:left w:val="none" w:sz="0" w:space="0" w:color="auto"/>
        <w:bottom w:val="none" w:sz="0" w:space="0" w:color="auto"/>
        <w:right w:val="none" w:sz="0" w:space="0" w:color="auto"/>
      </w:divBdr>
    </w:div>
    <w:div w:id="981424753">
      <w:bodyDiv w:val="1"/>
      <w:marLeft w:val="0"/>
      <w:marRight w:val="0"/>
      <w:marTop w:val="0"/>
      <w:marBottom w:val="0"/>
      <w:divBdr>
        <w:top w:val="none" w:sz="0" w:space="0" w:color="auto"/>
        <w:left w:val="none" w:sz="0" w:space="0" w:color="auto"/>
        <w:bottom w:val="none" w:sz="0" w:space="0" w:color="auto"/>
        <w:right w:val="none" w:sz="0" w:space="0" w:color="auto"/>
      </w:divBdr>
    </w:div>
    <w:div w:id="1011956457">
      <w:bodyDiv w:val="1"/>
      <w:marLeft w:val="0"/>
      <w:marRight w:val="0"/>
      <w:marTop w:val="0"/>
      <w:marBottom w:val="0"/>
      <w:divBdr>
        <w:top w:val="none" w:sz="0" w:space="0" w:color="auto"/>
        <w:left w:val="none" w:sz="0" w:space="0" w:color="auto"/>
        <w:bottom w:val="none" w:sz="0" w:space="0" w:color="auto"/>
        <w:right w:val="none" w:sz="0" w:space="0" w:color="auto"/>
      </w:divBdr>
    </w:div>
    <w:div w:id="1040324622">
      <w:bodyDiv w:val="1"/>
      <w:marLeft w:val="0"/>
      <w:marRight w:val="0"/>
      <w:marTop w:val="0"/>
      <w:marBottom w:val="0"/>
      <w:divBdr>
        <w:top w:val="none" w:sz="0" w:space="0" w:color="auto"/>
        <w:left w:val="none" w:sz="0" w:space="0" w:color="auto"/>
        <w:bottom w:val="none" w:sz="0" w:space="0" w:color="auto"/>
        <w:right w:val="none" w:sz="0" w:space="0" w:color="auto"/>
      </w:divBdr>
    </w:div>
    <w:div w:id="1056776197">
      <w:bodyDiv w:val="1"/>
      <w:marLeft w:val="0"/>
      <w:marRight w:val="0"/>
      <w:marTop w:val="0"/>
      <w:marBottom w:val="0"/>
      <w:divBdr>
        <w:top w:val="none" w:sz="0" w:space="0" w:color="auto"/>
        <w:left w:val="none" w:sz="0" w:space="0" w:color="auto"/>
        <w:bottom w:val="none" w:sz="0" w:space="0" w:color="auto"/>
        <w:right w:val="none" w:sz="0" w:space="0" w:color="auto"/>
      </w:divBdr>
    </w:div>
    <w:div w:id="1082483155">
      <w:bodyDiv w:val="1"/>
      <w:marLeft w:val="0"/>
      <w:marRight w:val="0"/>
      <w:marTop w:val="0"/>
      <w:marBottom w:val="0"/>
      <w:divBdr>
        <w:top w:val="none" w:sz="0" w:space="0" w:color="auto"/>
        <w:left w:val="none" w:sz="0" w:space="0" w:color="auto"/>
        <w:bottom w:val="none" w:sz="0" w:space="0" w:color="auto"/>
        <w:right w:val="none" w:sz="0" w:space="0" w:color="auto"/>
      </w:divBdr>
    </w:div>
    <w:div w:id="1092236827">
      <w:bodyDiv w:val="1"/>
      <w:marLeft w:val="0"/>
      <w:marRight w:val="0"/>
      <w:marTop w:val="0"/>
      <w:marBottom w:val="0"/>
      <w:divBdr>
        <w:top w:val="none" w:sz="0" w:space="0" w:color="auto"/>
        <w:left w:val="none" w:sz="0" w:space="0" w:color="auto"/>
        <w:bottom w:val="none" w:sz="0" w:space="0" w:color="auto"/>
        <w:right w:val="none" w:sz="0" w:space="0" w:color="auto"/>
      </w:divBdr>
    </w:div>
    <w:div w:id="1094012306">
      <w:bodyDiv w:val="1"/>
      <w:marLeft w:val="0"/>
      <w:marRight w:val="0"/>
      <w:marTop w:val="0"/>
      <w:marBottom w:val="0"/>
      <w:divBdr>
        <w:top w:val="none" w:sz="0" w:space="0" w:color="auto"/>
        <w:left w:val="none" w:sz="0" w:space="0" w:color="auto"/>
        <w:bottom w:val="none" w:sz="0" w:space="0" w:color="auto"/>
        <w:right w:val="none" w:sz="0" w:space="0" w:color="auto"/>
      </w:divBdr>
    </w:div>
    <w:div w:id="1132484907">
      <w:bodyDiv w:val="1"/>
      <w:marLeft w:val="0"/>
      <w:marRight w:val="0"/>
      <w:marTop w:val="0"/>
      <w:marBottom w:val="0"/>
      <w:divBdr>
        <w:top w:val="none" w:sz="0" w:space="0" w:color="auto"/>
        <w:left w:val="none" w:sz="0" w:space="0" w:color="auto"/>
        <w:bottom w:val="none" w:sz="0" w:space="0" w:color="auto"/>
        <w:right w:val="none" w:sz="0" w:space="0" w:color="auto"/>
      </w:divBdr>
    </w:div>
    <w:div w:id="1151096217">
      <w:bodyDiv w:val="1"/>
      <w:marLeft w:val="0"/>
      <w:marRight w:val="0"/>
      <w:marTop w:val="0"/>
      <w:marBottom w:val="0"/>
      <w:divBdr>
        <w:top w:val="none" w:sz="0" w:space="0" w:color="auto"/>
        <w:left w:val="none" w:sz="0" w:space="0" w:color="auto"/>
        <w:bottom w:val="none" w:sz="0" w:space="0" w:color="auto"/>
        <w:right w:val="none" w:sz="0" w:space="0" w:color="auto"/>
      </w:divBdr>
    </w:div>
    <w:div w:id="1172526942">
      <w:bodyDiv w:val="1"/>
      <w:marLeft w:val="0"/>
      <w:marRight w:val="0"/>
      <w:marTop w:val="0"/>
      <w:marBottom w:val="0"/>
      <w:divBdr>
        <w:top w:val="none" w:sz="0" w:space="0" w:color="auto"/>
        <w:left w:val="none" w:sz="0" w:space="0" w:color="auto"/>
        <w:bottom w:val="none" w:sz="0" w:space="0" w:color="auto"/>
        <w:right w:val="none" w:sz="0" w:space="0" w:color="auto"/>
      </w:divBdr>
    </w:div>
    <w:div w:id="1179346926">
      <w:bodyDiv w:val="1"/>
      <w:marLeft w:val="0"/>
      <w:marRight w:val="0"/>
      <w:marTop w:val="0"/>
      <w:marBottom w:val="0"/>
      <w:divBdr>
        <w:top w:val="none" w:sz="0" w:space="0" w:color="auto"/>
        <w:left w:val="none" w:sz="0" w:space="0" w:color="auto"/>
        <w:bottom w:val="none" w:sz="0" w:space="0" w:color="auto"/>
        <w:right w:val="none" w:sz="0" w:space="0" w:color="auto"/>
      </w:divBdr>
    </w:div>
    <w:div w:id="1185902489">
      <w:bodyDiv w:val="1"/>
      <w:marLeft w:val="0"/>
      <w:marRight w:val="0"/>
      <w:marTop w:val="0"/>
      <w:marBottom w:val="0"/>
      <w:divBdr>
        <w:top w:val="none" w:sz="0" w:space="0" w:color="auto"/>
        <w:left w:val="none" w:sz="0" w:space="0" w:color="auto"/>
        <w:bottom w:val="none" w:sz="0" w:space="0" w:color="auto"/>
        <w:right w:val="none" w:sz="0" w:space="0" w:color="auto"/>
      </w:divBdr>
    </w:div>
    <w:div w:id="1199319598">
      <w:bodyDiv w:val="1"/>
      <w:marLeft w:val="0"/>
      <w:marRight w:val="0"/>
      <w:marTop w:val="0"/>
      <w:marBottom w:val="0"/>
      <w:divBdr>
        <w:top w:val="none" w:sz="0" w:space="0" w:color="auto"/>
        <w:left w:val="none" w:sz="0" w:space="0" w:color="auto"/>
        <w:bottom w:val="none" w:sz="0" w:space="0" w:color="auto"/>
        <w:right w:val="none" w:sz="0" w:space="0" w:color="auto"/>
      </w:divBdr>
    </w:div>
    <w:div w:id="1212962488">
      <w:bodyDiv w:val="1"/>
      <w:marLeft w:val="0"/>
      <w:marRight w:val="0"/>
      <w:marTop w:val="0"/>
      <w:marBottom w:val="0"/>
      <w:divBdr>
        <w:top w:val="none" w:sz="0" w:space="0" w:color="auto"/>
        <w:left w:val="none" w:sz="0" w:space="0" w:color="auto"/>
        <w:bottom w:val="none" w:sz="0" w:space="0" w:color="auto"/>
        <w:right w:val="none" w:sz="0" w:space="0" w:color="auto"/>
      </w:divBdr>
    </w:div>
    <w:div w:id="1219976290">
      <w:bodyDiv w:val="1"/>
      <w:marLeft w:val="0"/>
      <w:marRight w:val="0"/>
      <w:marTop w:val="0"/>
      <w:marBottom w:val="0"/>
      <w:divBdr>
        <w:top w:val="none" w:sz="0" w:space="0" w:color="auto"/>
        <w:left w:val="none" w:sz="0" w:space="0" w:color="auto"/>
        <w:bottom w:val="none" w:sz="0" w:space="0" w:color="auto"/>
        <w:right w:val="none" w:sz="0" w:space="0" w:color="auto"/>
      </w:divBdr>
    </w:div>
    <w:div w:id="1222709571">
      <w:bodyDiv w:val="1"/>
      <w:marLeft w:val="0"/>
      <w:marRight w:val="0"/>
      <w:marTop w:val="0"/>
      <w:marBottom w:val="0"/>
      <w:divBdr>
        <w:top w:val="none" w:sz="0" w:space="0" w:color="auto"/>
        <w:left w:val="none" w:sz="0" w:space="0" w:color="auto"/>
        <w:bottom w:val="none" w:sz="0" w:space="0" w:color="auto"/>
        <w:right w:val="none" w:sz="0" w:space="0" w:color="auto"/>
      </w:divBdr>
    </w:div>
    <w:div w:id="1282877673">
      <w:bodyDiv w:val="1"/>
      <w:marLeft w:val="0"/>
      <w:marRight w:val="0"/>
      <w:marTop w:val="0"/>
      <w:marBottom w:val="0"/>
      <w:divBdr>
        <w:top w:val="none" w:sz="0" w:space="0" w:color="auto"/>
        <w:left w:val="none" w:sz="0" w:space="0" w:color="auto"/>
        <w:bottom w:val="none" w:sz="0" w:space="0" w:color="auto"/>
        <w:right w:val="none" w:sz="0" w:space="0" w:color="auto"/>
      </w:divBdr>
    </w:div>
    <w:div w:id="1285313061">
      <w:bodyDiv w:val="1"/>
      <w:marLeft w:val="0"/>
      <w:marRight w:val="0"/>
      <w:marTop w:val="0"/>
      <w:marBottom w:val="0"/>
      <w:divBdr>
        <w:top w:val="none" w:sz="0" w:space="0" w:color="auto"/>
        <w:left w:val="none" w:sz="0" w:space="0" w:color="auto"/>
        <w:bottom w:val="none" w:sz="0" w:space="0" w:color="auto"/>
        <w:right w:val="none" w:sz="0" w:space="0" w:color="auto"/>
      </w:divBdr>
    </w:div>
    <w:div w:id="1288777321">
      <w:bodyDiv w:val="1"/>
      <w:marLeft w:val="0"/>
      <w:marRight w:val="0"/>
      <w:marTop w:val="0"/>
      <w:marBottom w:val="0"/>
      <w:divBdr>
        <w:top w:val="none" w:sz="0" w:space="0" w:color="auto"/>
        <w:left w:val="none" w:sz="0" w:space="0" w:color="auto"/>
        <w:bottom w:val="none" w:sz="0" w:space="0" w:color="auto"/>
        <w:right w:val="none" w:sz="0" w:space="0" w:color="auto"/>
      </w:divBdr>
    </w:div>
    <w:div w:id="1337997430">
      <w:bodyDiv w:val="1"/>
      <w:marLeft w:val="0"/>
      <w:marRight w:val="0"/>
      <w:marTop w:val="0"/>
      <w:marBottom w:val="0"/>
      <w:divBdr>
        <w:top w:val="none" w:sz="0" w:space="0" w:color="auto"/>
        <w:left w:val="none" w:sz="0" w:space="0" w:color="auto"/>
        <w:bottom w:val="none" w:sz="0" w:space="0" w:color="auto"/>
        <w:right w:val="none" w:sz="0" w:space="0" w:color="auto"/>
      </w:divBdr>
    </w:div>
    <w:div w:id="1350835144">
      <w:bodyDiv w:val="1"/>
      <w:marLeft w:val="0"/>
      <w:marRight w:val="0"/>
      <w:marTop w:val="0"/>
      <w:marBottom w:val="0"/>
      <w:divBdr>
        <w:top w:val="none" w:sz="0" w:space="0" w:color="auto"/>
        <w:left w:val="none" w:sz="0" w:space="0" w:color="auto"/>
        <w:bottom w:val="none" w:sz="0" w:space="0" w:color="auto"/>
        <w:right w:val="none" w:sz="0" w:space="0" w:color="auto"/>
      </w:divBdr>
    </w:div>
    <w:div w:id="1369070093">
      <w:bodyDiv w:val="1"/>
      <w:marLeft w:val="0"/>
      <w:marRight w:val="0"/>
      <w:marTop w:val="0"/>
      <w:marBottom w:val="0"/>
      <w:divBdr>
        <w:top w:val="none" w:sz="0" w:space="0" w:color="auto"/>
        <w:left w:val="none" w:sz="0" w:space="0" w:color="auto"/>
        <w:bottom w:val="none" w:sz="0" w:space="0" w:color="auto"/>
        <w:right w:val="none" w:sz="0" w:space="0" w:color="auto"/>
      </w:divBdr>
    </w:div>
    <w:div w:id="1374496793">
      <w:bodyDiv w:val="1"/>
      <w:marLeft w:val="0"/>
      <w:marRight w:val="0"/>
      <w:marTop w:val="0"/>
      <w:marBottom w:val="0"/>
      <w:divBdr>
        <w:top w:val="none" w:sz="0" w:space="0" w:color="auto"/>
        <w:left w:val="none" w:sz="0" w:space="0" w:color="auto"/>
        <w:bottom w:val="none" w:sz="0" w:space="0" w:color="auto"/>
        <w:right w:val="none" w:sz="0" w:space="0" w:color="auto"/>
      </w:divBdr>
    </w:div>
    <w:div w:id="1393190157">
      <w:bodyDiv w:val="1"/>
      <w:marLeft w:val="0"/>
      <w:marRight w:val="0"/>
      <w:marTop w:val="0"/>
      <w:marBottom w:val="0"/>
      <w:divBdr>
        <w:top w:val="none" w:sz="0" w:space="0" w:color="auto"/>
        <w:left w:val="none" w:sz="0" w:space="0" w:color="auto"/>
        <w:bottom w:val="none" w:sz="0" w:space="0" w:color="auto"/>
        <w:right w:val="none" w:sz="0" w:space="0" w:color="auto"/>
      </w:divBdr>
    </w:div>
    <w:div w:id="1398555723">
      <w:bodyDiv w:val="1"/>
      <w:marLeft w:val="0"/>
      <w:marRight w:val="0"/>
      <w:marTop w:val="0"/>
      <w:marBottom w:val="0"/>
      <w:divBdr>
        <w:top w:val="none" w:sz="0" w:space="0" w:color="auto"/>
        <w:left w:val="none" w:sz="0" w:space="0" w:color="auto"/>
        <w:bottom w:val="none" w:sz="0" w:space="0" w:color="auto"/>
        <w:right w:val="none" w:sz="0" w:space="0" w:color="auto"/>
      </w:divBdr>
    </w:div>
    <w:div w:id="1400401079">
      <w:bodyDiv w:val="1"/>
      <w:marLeft w:val="0"/>
      <w:marRight w:val="0"/>
      <w:marTop w:val="0"/>
      <w:marBottom w:val="0"/>
      <w:divBdr>
        <w:top w:val="none" w:sz="0" w:space="0" w:color="auto"/>
        <w:left w:val="none" w:sz="0" w:space="0" w:color="auto"/>
        <w:bottom w:val="none" w:sz="0" w:space="0" w:color="auto"/>
        <w:right w:val="none" w:sz="0" w:space="0" w:color="auto"/>
      </w:divBdr>
    </w:div>
    <w:div w:id="1405951752">
      <w:bodyDiv w:val="1"/>
      <w:marLeft w:val="0"/>
      <w:marRight w:val="0"/>
      <w:marTop w:val="0"/>
      <w:marBottom w:val="0"/>
      <w:divBdr>
        <w:top w:val="none" w:sz="0" w:space="0" w:color="auto"/>
        <w:left w:val="none" w:sz="0" w:space="0" w:color="auto"/>
        <w:bottom w:val="none" w:sz="0" w:space="0" w:color="auto"/>
        <w:right w:val="none" w:sz="0" w:space="0" w:color="auto"/>
      </w:divBdr>
    </w:div>
    <w:div w:id="1420758959">
      <w:bodyDiv w:val="1"/>
      <w:marLeft w:val="0"/>
      <w:marRight w:val="0"/>
      <w:marTop w:val="0"/>
      <w:marBottom w:val="0"/>
      <w:divBdr>
        <w:top w:val="none" w:sz="0" w:space="0" w:color="auto"/>
        <w:left w:val="none" w:sz="0" w:space="0" w:color="auto"/>
        <w:bottom w:val="none" w:sz="0" w:space="0" w:color="auto"/>
        <w:right w:val="none" w:sz="0" w:space="0" w:color="auto"/>
      </w:divBdr>
    </w:div>
    <w:div w:id="1440485507">
      <w:bodyDiv w:val="1"/>
      <w:marLeft w:val="0"/>
      <w:marRight w:val="0"/>
      <w:marTop w:val="0"/>
      <w:marBottom w:val="0"/>
      <w:divBdr>
        <w:top w:val="none" w:sz="0" w:space="0" w:color="auto"/>
        <w:left w:val="none" w:sz="0" w:space="0" w:color="auto"/>
        <w:bottom w:val="none" w:sz="0" w:space="0" w:color="auto"/>
        <w:right w:val="none" w:sz="0" w:space="0" w:color="auto"/>
      </w:divBdr>
    </w:div>
    <w:div w:id="1440563511">
      <w:bodyDiv w:val="1"/>
      <w:marLeft w:val="0"/>
      <w:marRight w:val="0"/>
      <w:marTop w:val="0"/>
      <w:marBottom w:val="0"/>
      <w:divBdr>
        <w:top w:val="none" w:sz="0" w:space="0" w:color="auto"/>
        <w:left w:val="none" w:sz="0" w:space="0" w:color="auto"/>
        <w:bottom w:val="none" w:sz="0" w:space="0" w:color="auto"/>
        <w:right w:val="none" w:sz="0" w:space="0" w:color="auto"/>
      </w:divBdr>
    </w:div>
    <w:div w:id="1453286045">
      <w:bodyDiv w:val="1"/>
      <w:marLeft w:val="0"/>
      <w:marRight w:val="0"/>
      <w:marTop w:val="0"/>
      <w:marBottom w:val="0"/>
      <w:divBdr>
        <w:top w:val="none" w:sz="0" w:space="0" w:color="auto"/>
        <w:left w:val="none" w:sz="0" w:space="0" w:color="auto"/>
        <w:bottom w:val="none" w:sz="0" w:space="0" w:color="auto"/>
        <w:right w:val="none" w:sz="0" w:space="0" w:color="auto"/>
      </w:divBdr>
    </w:div>
    <w:div w:id="1454446556">
      <w:bodyDiv w:val="1"/>
      <w:marLeft w:val="0"/>
      <w:marRight w:val="0"/>
      <w:marTop w:val="0"/>
      <w:marBottom w:val="0"/>
      <w:divBdr>
        <w:top w:val="none" w:sz="0" w:space="0" w:color="auto"/>
        <w:left w:val="none" w:sz="0" w:space="0" w:color="auto"/>
        <w:bottom w:val="none" w:sz="0" w:space="0" w:color="auto"/>
        <w:right w:val="none" w:sz="0" w:space="0" w:color="auto"/>
      </w:divBdr>
    </w:div>
    <w:div w:id="1456218884">
      <w:bodyDiv w:val="1"/>
      <w:marLeft w:val="0"/>
      <w:marRight w:val="0"/>
      <w:marTop w:val="0"/>
      <w:marBottom w:val="0"/>
      <w:divBdr>
        <w:top w:val="none" w:sz="0" w:space="0" w:color="auto"/>
        <w:left w:val="none" w:sz="0" w:space="0" w:color="auto"/>
        <w:bottom w:val="none" w:sz="0" w:space="0" w:color="auto"/>
        <w:right w:val="none" w:sz="0" w:space="0" w:color="auto"/>
      </w:divBdr>
    </w:div>
    <w:div w:id="1469013120">
      <w:bodyDiv w:val="1"/>
      <w:marLeft w:val="0"/>
      <w:marRight w:val="0"/>
      <w:marTop w:val="0"/>
      <w:marBottom w:val="0"/>
      <w:divBdr>
        <w:top w:val="none" w:sz="0" w:space="0" w:color="auto"/>
        <w:left w:val="none" w:sz="0" w:space="0" w:color="auto"/>
        <w:bottom w:val="none" w:sz="0" w:space="0" w:color="auto"/>
        <w:right w:val="none" w:sz="0" w:space="0" w:color="auto"/>
      </w:divBdr>
    </w:div>
    <w:div w:id="1484276983">
      <w:bodyDiv w:val="1"/>
      <w:marLeft w:val="0"/>
      <w:marRight w:val="0"/>
      <w:marTop w:val="0"/>
      <w:marBottom w:val="0"/>
      <w:divBdr>
        <w:top w:val="none" w:sz="0" w:space="0" w:color="auto"/>
        <w:left w:val="none" w:sz="0" w:space="0" w:color="auto"/>
        <w:bottom w:val="none" w:sz="0" w:space="0" w:color="auto"/>
        <w:right w:val="none" w:sz="0" w:space="0" w:color="auto"/>
      </w:divBdr>
    </w:div>
    <w:div w:id="1484348812">
      <w:bodyDiv w:val="1"/>
      <w:marLeft w:val="0"/>
      <w:marRight w:val="0"/>
      <w:marTop w:val="0"/>
      <w:marBottom w:val="0"/>
      <w:divBdr>
        <w:top w:val="none" w:sz="0" w:space="0" w:color="auto"/>
        <w:left w:val="none" w:sz="0" w:space="0" w:color="auto"/>
        <w:bottom w:val="none" w:sz="0" w:space="0" w:color="auto"/>
        <w:right w:val="none" w:sz="0" w:space="0" w:color="auto"/>
      </w:divBdr>
    </w:div>
    <w:div w:id="1505971520">
      <w:bodyDiv w:val="1"/>
      <w:marLeft w:val="0"/>
      <w:marRight w:val="0"/>
      <w:marTop w:val="0"/>
      <w:marBottom w:val="0"/>
      <w:divBdr>
        <w:top w:val="none" w:sz="0" w:space="0" w:color="auto"/>
        <w:left w:val="none" w:sz="0" w:space="0" w:color="auto"/>
        <w:bottom w:val="none" w:sz="0" w:space="0" w:color="auto"/>
        <w:right w:val="none" w:sz="0" w:space="0" w:color="auto"/>
      </w:divBdr>
    </w:div>
    <w:div w:id="1515612633">
      <w:bodyDiv w:val="1"/>
      <w:marLeft w:val="0"/>
      <w:marRight w:val="0"/>
      <w:marTop w:val="0"/>
      <w:marBottom w:val="0"/>
      <w:divBdr>
        <w:top w:val="none" w:sz="0" w:space="0" w:color="auto"/>
        <w:left w:val="none" w:sz="0" w:space="0" w:color="auto"/>
        <w:bottom w:val="none" w:sz="0" w:space="0" w:color="auto"/>
        <w:right w:val="none" w:sz="0" w:space="0" w:color="auto"/>
      </w:divBdr>
    </w:div>
    <w:div w:id="1526673685">
      <w:bodyDiv w:val="1"/>
      <w:marLeft w:val="0"/>
      <w:marRight w:val="0"/>
      <w:marTop w:val="0"/>
      <w:marBottom w:val="0"/>
      <w:divBdr>
        <w:top w:val="none" w:sz="0" w:space="0" w:color="auto"/>
        <w:left w:val="none" w:sz="0" w:space="0" w:color="auto"/>
        <w:bottom w:val="none" w:sz="0" w:space="0" w:color="auto"/>
        <w:right w:val="none" w:sz="0" w:space="0" w:color="auto"/>
      </w:divBdr>
    </w:div>
    <w:div w:id="1538086365">
      <w:bodyDiv w:val="1"/>
      <w:marLeft w:val="0"/>
      <w:marRight w:val="0"/>
      <w:marTop w:val="0"/>
      <w:marBottom w:val="0"/>
      <w:divBdr>
        <w:top w:val="none" w:sz="0" w:space="0" w:color="auto"/>
        <w:left w:val="none" w:sz="0" w:space="0" w:color="auto"/>
        <w:bottom w:val="none" w:sz="0" w:space="0" w:color="auto"/>
        <w:right w:val="none" w:sz="0" w:space="0" w:color="auto"/>
      </w:divBdr>
    </w:div>
    <w:div w:id="1538934345">
      <w:bodyDiv w:val="1"/>
      <w:marLeft w:val="0"/>
      <w:marRight w:val="0"/>
      <w:marTop w:val="0"/>
      <w:marBottom w:val="0"/>
      <w:divBdr>
        <w:top w:val="none" w:sz="0" w:space="0" w:color="auto"/>
        <w:left w:val="none" w:sz="0" w:space="0" w:color="auto"/>
        <w:bottom w:val="none" w:sz="0" w:space="0" w:color="auto"/>
        <w:right w:val="none" w:sz="0" w:space="0" w:color="auto"/>
      </w:divBdr>
    </w:div>
    <w:div w:id="1545366716">
      <w:bodyDiv w:val="1"/>
      <w:marLeft w:val="0"/>
      <w:marRight w:val="0"/>
      <w:marTop w:val="0"/>
      <w:marBottom w:val="0"/>
      <w:divBdr>
        <w:top w:val="none" w:sz="0" w:space="0" w:color="auto"/>
        <w:left w:val="none" w:sz="0" w:space="0" w:color="auto"/>
        <w:bottom w:val="none" w:sz="0" w:space="0" w:color="auto"/>
        <w:right w:val="none" w:sz="0" w:space="0" w:color="auto"/>
      </w:divBdr>
    </w:div>
    <w:div w:id="1546676743">
      <w:bodyDiv w:val="1"/>
      <w:marLeft w:val="0"/>
      <w:marRight w:val="0"/>
      <w:marTop w:val="0"/>
      <w:marBottom w:val="0"/>
      <w:divBdr>
        <w:top w:val="none" w:sz="0" w:space="0" w:color="auto"/>
        <w:left w:val="none" w:sz="0" w:space="0" w:color="auto"/>
        <w:bottom w:val="none" w:sz="0" w:space="0" w:color="auto"/>
        <w:right w:val="none" w:sz="0" w:space="0" w:color="auto"/>
      </w:divBdr>
    </w:div>
    <w:div w:id="1557816814">
      <w:bodyDiv w:val="1"/>
      <w:marLeft w:val="0"/>
      <w:marRight w:val="0"/>
      <w:marTop w:val="0"/>
      <w:marBottom w:val="0"/>
      <w:divBdr>
        <w:top w:val="none" w:sz="0" w:space="0" w:color="auto"/>
        <w:left w:val="none" w:sz="0" w:space="0" w:color="auto"/>
        <w:bottom w:val="none" w:sz="0" w:space="0" w:color="auto"/>
        <w:right w:val="none" w:sz="0" w:space="0" w:color="auto"/>
      </w:divBdr>
    </w:div>
    <w:div w:id="1575697728">
      <w:bodyDiv w:val="1"/>
      <w:marLeft w:val="0"/>
      <w:marRight w:val="0"/>
      <w:marTop w:val="0"/>
      <w:marBottom w:val="0"/>
      <w:divBdr>
        <w:top w:val="none" w:sz="0" w:space="0" w:color="auto"/>
        <w:left w:val="none" w:sz="0" w:space="0" w:color="auto"/>
        <w:bottom w:val="none" w:sz="0" w:space="0" w:color="auto"/>
        <w:right w:val="none" w:sz="0" w:space="0" w:color="auto"/>
      </w:divBdr>
    </w:div>
    <w:div w:id="1577857468">
      <w:bodyDiv w:val="1"/>
      <w:marLeft w:val="0"/>
      <w:marRight w:val="0"/>
      <w:marTop w:val="0"/>
      <w:marBottom w:val="0"/>
      <w:divBdr>
        <w:top w:val="none" w:sz="0" w:space="0" w:color="auto"/>
        <w:left w:val="none" w:sz="0" w:space="0" w:color="auto"/>
        <w:bottom w:val="none" w:sz="0" w:space="0" w:color="auto"/>
        <w:right w:val="none" w:sz="0" w:space="0" w:color="auto"/>
      </w:divBdr>
    </w:div>
    <w:div w:id="1584023736">
      <w:bodyDiv w:val="1"/>
      <w:marLeft w:val="0"/>
      <w:marRight w:val="0"/>
      <w:marTop w:val="0"/>
      <w:marBottom w:val="0"/>
      <w:divBdr>
        <w:top w:val="none" w:sz="0" w:space="0" w:color="auto"/>
        <w:left w:val="none" w:sz="0" w:space="0" w:color="auto"/>
        <w:bottom w:val="none" w:sz="0" w:space="0" w:color="auto"/>
        <w:right w:val="none" w:sz="0" w:space="0" w:color="auto"/>
      </w:divBdr>
    </w:div>
    <w:div w:id="1589536531">
      <w:bodyDiv w:val="1"/>
      <w:marLeft w:val="0"/>
      <w:marRight w:val="0"/>
      <w:marTop w:val="0"/>
      <w:marBottom w:val="0"/>
      <w:divBdr>
        <w:top w:val="none" w:sz="0" w:space="0" w:color="auto"/>
        <w:left w:val="none" w:sz="0" w:space="0" w:color="auto"/>
        <w:bottom w:val="none" w:sz="0" w:space="0" w:color="auto"/>
        <w:right w:val="none" w:sz="0" w:space="0" w:color="auto"/>
      </w:divBdr>
    </w:div>
    <w:div w:id="1593465947">
      <w:bodyDiv w:val="1"/>
      <w:marLeft w:val="0"/>
      <w:marRight w:val="0"/>
      <w:marTop w:val="0"/>
      <w:marBottom w:val="0"/>
      <w:divBdr>
        <w:top w:val="none" w:sz="0" w:space="0" w:color="auto"/>
        <w:left w:val="none" w:sz="0" w:space="0" w:color="auto"/>
        <w:bottom w:val="none" w:sz="0" w:space="0" w:color="auto"/>
        <w:right w:val="none" w:sz="0" w:space="0" w:color="auto"/>
      </w:divBdr>
    </w:div>
    <w:div w:id="1600140064">
      <w:bodyDiv w:val="1"/>
      <w:marLeft w:val="0"/>
      <w:marRight w:val="0"/>
      <w:marTop w:val="0"/>
      <w:marBottom w:val="0"/>
      <w:divBdr>
        <w:top w:val="none" w:sz="0" w:space="0" w:color="auto"/>
        <w:left w:val="none" w:sz="0" w:space="0" w:color="auto"/>
        <w:bottom w:val="none" w:sz="0" w:space="0" w:color="auto"/>
        <w:right w:val="none" w:sz="0" w:space="0" w:color="auto"/>
      </w:divBdr>
    </w:div>
    <w:div w:id="1615015567">
      <w:bodyDiv w:val="1"/>
      <w:marLeft w:val="0"/>
      <w:marRight w:val="0"/>
      <w:marTop w:val="0"/>
      <w:marBottom w:val="0"/>
      <w:divBdr>
        <w:top w:val="none" w:sz="0" w:space="0" w:color="auto"/>
        <w:left w:val="none" w:sz="0" w:space="0" w:color="auto"/>
        <w:bottom w:val="none" w:sz="0" w:space="0" w:color="auto"/>
        <w:right w:val="none" w:sz="0" w:space="0" w:color="auto"/>
      </w:divBdr>
    </w:div>
    <w:div w:id="1617829364">
      <w:bodyDiv w:val="1"/>
      <w:marLeft w:val="0"/>
      <w:marRight w:val="0"/>
      <w:marTop w:val="0"/>
      <w:marBottom w:val="0"/>
      <w:divBdr>
        <w:top w:val="none" w:sz="0" w:space="0" w:color="auto"/>
        <w:left w:val="none" w:sz="0" w:space="0" w:color="auto"/>
        <w:bottom w:val="none" w:sz="0" w:space="0" w:color="auto"/>
        <w:right w:val="none" w:sz="0" w:space="0" w:color="auto"/>
      </w:divBdr>
    </w:div>
    <w:div w:id="1625503220">
      <w:bodyDiv w:val="1"/>
      <w:marLeft w:val="0"/>
      <w:marRight w:val="0"/>
      <w:marTop w:val="0"/>
      <w:marBottom w:val="0"/>
      <w:divBdr>
        <w:top w:val="none" w:sz="0" w:space="0" w:color="auto"/>
        <w:left w:val="none" w:sz="0" w:space="0" w:color="auto"/>
        <w:bottom w:val="none" w:sz="0" w:space="0" w:color="auto"/>
        <w:right w:val="none" w:sz="0" w:space="0" w:color="auto"/>
      </w:divBdr>
    </w:div>
    <w:div w:id="1631352486">
      <w:bodyDiv w:val="1"/>
      <w:marLeft w:val="0"/>
      <w:marRight w:val="0"/>
      <w:marTop w:val="0"/>
      <w:marBottom w:val="0"/>
      <w:divBdr>
        <w:top w:val="none" w:sz="0" w:space="0" w:color="auto"/>
        <w:left w:val="none" w:sz="0" w:space="0" w:color="auto"/>
        <w:bottom w:val="none" w:sz="0" w:space="0" w:color="auto"/>
        <w:right w:val="none" w:sz="0" w:space="0" w:color="auto"/>
      </w:divBdr>
    </w:div>
    <w:div w:id="1633828496">
      <w:bodyDiv w:val="1"/>
      <w:marLeft w:val="0"/>
      <w:marRight w:val="0"/>
      <w:marTop w:val="0"/>
      <w:marBottom w:val="0"/>
      <w:divBdr>
        <w:top w:val="none" w:sz="0" w:space="0" w:color="auto"/>
        <w:left w:val="none" w:sz="0" w:space="0" w:color="auto"/>
        <w:bottom w:val="none" w:sz="0" w:space="0" w:color="auto"/>
        <w:right w:val="none" w:sz="0" w:space="0" w:color="auto"/>
      </w:divBdr>
    </w:div>
    <w:div w:id="1703625887">
      <w:bodyDiv w:val="1"/>
      <w:marLeft w:val="0"/>
      <w:marRight w:val="0"/>
      <w:marTop w:val="0"/>
      <w:marBottom w:val="0"/>
      <w:divBdr>
        <w:top w:val="none" w:sz="0" w:space="0" w:color="auto"/>
        <w:left w:val="none" w:sz="0" w:space="0" w:color="auto"/>
        <w:bottom w:val="none" w:sz="0" w:space="0" w:color="auto"/>
        <w:right w:val="none" w:sz="0" w:space="0" w:color="auto"/>
      </w:divBdr>
    </w:div>
    <w:div w:id="1717898189">
      <w:bodyDiv w:val="1"/>
      <w:marLeft w:val="0"/>
      <w:marRight w:val="0"/>
      <w:marTop w:val="0"/>
      <w:marBottom w:val="0"/>
      <w:divBdr>
        <w:top w:val="none" w:sz="0" w:space="0" w:color="auto"/>
        <w:left w:val="none" w:sz="0" w:space="0" w:color="auto"/>
        <w:bottom w:val="none" w:sz="0" w:space="0" w:color="auto"/>
        <w:right w:val="none" w:sz="0" w:space="0" w:color="auto"/>
      </w:divBdr>
    </w:div>
    <w:div w:id="1724600314">
      <w:bodyDiv w:val="1"/>
      <w:marLeft w:val="0"/>
      <w:marRight w:val="0"/>
      <w:marTop w:val="0"/>
      <w:marBottom w:val="0"/>
      <w:divBdr>
        <w:top w:val="none" w:sz="0" w:space="0" w:color="auto"/>
        <w:left w:val="none" w:sz="0" w:space="0" w:color="auto"/>
        <w:bottom w:val="none" w:sz="0" w:space="0" w:color="auto"/>
        <w:right w:val="none" w:sz="0" w:space="0" w:color="auto"/>
      </w:divBdr>
    </w:div>
    <w:div w:id="1748380058">
      <w:bodyDiv w:val="1"/>
      <w:marLeft w:val="0"/>
      <w:marRight w:val="0"/>
      <w:marTop w:val="0"/>
      <w:marBottom w:val="0"/>
      <w:divBdr>
        <w:top w:val="none" w:sz="0" w:space="0" w:color="auto"/>
        <w:left w:val="none" w:sz="0" w:space="0" w:color="auto"/>
        <w:bottom w:val="none" w:sz="0" w:space="0" w:color="auto"/>
        <w:right w:val="none" w:sz="0" w:space="0" w:color="auto"/>
      </w:divBdr>
    </w:div>
    <w:div w:id="1750349338">
      <w:bodyDiv w:val="1"/>
      <w:marLeft w:val="0"/>
      <w:marRight w:val="0"/>
      <w:marTop w:val="0"/>
      <w:marBottom w:val="0"/>
      <w:divBdr>
        <w:top w:val="none" w:sz="0" w:space="0" w:color="auto"/>
        <w:left w:val="none" w:sz="0" w:space="0" w:color="auto"/>
        <w:bottom w:val="none" w:sz="0" w:space="0" w:color="auto"/>
        <w:right w:val="none" w:sz="0" w:space="0" w:color="auto"/>
      </w:divBdr>
    </w:div>
    <w:div w:id="1761827505">
      <w:bodyDiv w:val="1"/>
      <w:marLeft w:val="0"/>
      <w:marRight w:val="0"/>
      <w:marTop w:val="0"/>
      <w:marBottom w:val="0"/>
      <w:divBdr>
        <w:top w:val="none" w:sz="0" w:space="0" w:color="auto"/>
        <w:left w:val="none" w:sz="0" w:space="0" w:color="auto"/>
        <w:bottom w:val="none" w:sz="0" w:space="0" w:color="auto"/>
        <w:right w:val="none" w:sz="0" w:space="0" w:color="auto"/>
      </w:divBdr>
    </w:div>
    <w:div w:id="1762946458">
      <w:bodyDiv w:val="1"/>
      <w:marLeft w:val="0"/>
      <w:marRight w:val="0"/>
      <w:marTop w:val="0"/>
      <w:marBottom w:val="0"/>
      <w:divBdr>
        <w:top w:val="none" w:sz="0" w:space="0" w:color="auto"/>
        <w:left w:val="none" w:sz="0" w:space="0" w:color="auto"/>
        <w:bottom w:val="none" w:sz="0" w:space="0" w:color="auto"/>
        <w:right w:val="none" w:sz="0" w:space="0" w:color="auto"/>
      </w:divBdr>
    </w:div>
    <w:div w:id="1764915070">
      <w:bodyDiv w:val="1"/>
      <w:marLeft w:val="0"/>
      <w:marRight w:val="0"/>
      <w:marTop w:val="0"/>
      <w:marBottom w:val="0"/>
      <w:divBdr>
        <w:top w:val="none" w:sz="0" w:space="0" w:color="auto"/>
        <w:left w:val="none" w:sz="0" w:space="0" w:color="auto"/>
        <w:bottom w:val="none" w:sz="0" w:space="0" w:color="auto"/>
        <w:right w:val="none" w:sz="0" w:space="0" w:color="auto"/>
      </w:divBdr>
    </w:div>
    <w:div w:id="1849714515">
      <w:bodyDiv w:val="1"/>
      <w:marLeft w:val="0"/>
      <w:marRight w:val="0"/>
      <w:marTop w:val="0"/>
      <w:marBottom w:val="0"/>
      <w:divBdr>
        <w:top w:val="none" w:sz="0" w:space="0" w:color="auto"/>
        <w:left w:val="none" w:sz="0" w:space="0" w:color="auto"/>
        <w:bottom w:val="none" w:sz="0" w:space="0" w:color="auto"/>
        <w:right w:val="none" w:sz="0" w:space="0" w:color="auto"/>
      </w:divBdr>
    </w:div>
    <w:div w:id="1854957210">
      <w:bodyDiv w:val="1"/>
      <w:marLeft w:val="0"/>
      <w:marRight w:val="0"/>
      <w:marTop w:val="0"/>
      <w:marBottom w:val="0"/>
      <w:divBdr>
        <w:top w:val="none" w:sz="0" w:space="0" w:color="auto"/>
        <w:left w:val="none" w:sz="0" w:space="0" w:color="auto"/>
        <w:bottom w:val="none" w:sz="0" w:space="0" w:color="auto"/>
        <w:right w:val="none" w:sz="0" w:space="0" w:color="auto"/>
      </w:divBdr>
    </w:div>
    <w:div w:id="1873565974">
      <w:bodyDiv w:val="1"/>
      <w:marLeft w:val="0"/>
      <w:marRight w:val="0"/>
      <w:marTop w:val="0"/>
      <w:marBottom w:val="0"/>
      <w:divBdr>
        <w:top w:val="none" w:sz="0" w:space="0" w:color="auto"/>
        <w:left w:val="none" w:sz="0" w:space="0" w:color="auto"/>
        <w:bottom w:val="none" w:sz="0" w:space="0" w:color="auto"/>
        <w:right w:val="none" w:sz="0" w:space="0" w:color="auto"/>
      </w:divBdr>
    </w:div>
    <w:div w:id="1874417529">
      <w:bodyDiv w:val="1"/>
      <w:marLeft w:val="0"/>
      <w:marRight w:val="0"/>
      <w:marTop w:val="0"/>
      <w:marBottom w:val="0"/>
      <w:divBdr>
        <w:top w:val="none" w:sz="0" w:space="0" w:color="auto"/>
        <w:left w:val="none" w:sz="0" w:space="0" w:color="auto"/>
        <w:bottom w:val="none" w:sz="0" w:space="0" w:color="auto"/>
        <w:right w:val="none" w:sz="0" w:space="0" w:color="auto"/>
      </w:divBdr>
    </w:div>
    <w:div w:id="1906376710">
      <w:bodyDiv w:val="1"/>
      <w:marLeft w:val="0"/>
      <w:marRight w:val="0"/>
      <w:marTop w:val="0"/>
      <w:marBottom w:val="0"/>
      <w:divBdr>
        <w:top w:val="none" w:sz="0" w:space="0" w:color="auto"/>
        <w:left w:val="none" w:sz="0" w:space="0" w:color="auto"/>
        <w:bottom w:val="none" w:sz="0" w:space="0" w:color="auto"/>
        <w:right w:val="none" w:sz="0" w:space="0" w:color="auto"/>
      </w:divBdr>
    </w:div>
    <w:div w:id="1911649799">
      <w:bodyDiv w:val="1"/>
      <w:marLeft w:val="0"/>
      <w:marRight w:val="0"/>
      <w:marTop w:val="0"/>
      <w:marBottom w:val="0"/>
      <w:divBdr>
        <w:top w:val="none" w:sz="0" w:space="0" w:color="auto"/>
        <w:left w:val="none" w:sz="0" w:space="0" w:color="auto"/>
        <w:bottom w:val="none" w:sz="0" w:space="0" w:color="auto"/>
        <w:right w:val="none" w:sz="0" w:space="0" w:color="auto"/>
      </w:divBdr>
    </w:div>
    <w:div w:id="1942495978">
      <w:bodyDiv w:val="1"/>
      <w:marLeft w:val="0"/>
      <w:marRight w:val="0"/>
      <w:marTop w:val="0"/>
      <w:marBottom w:val="0"/>
      <w:divBdr>
        <w:top w:val="none" w:sz="0" w:space="0" w:color="auto"/>
        <w:left w:val="none" w:sz="0" w:space="0" w:color="auto"/>
        <w:bottom w:val="none" w:sz="0" w:space="0" w:color="auto"/>
        <w:right w:val="none" w:sz="0" w:space="0" w:color="auto"/>
      </w:divBdr>
    </w:div>
    <w:div w:id="1974435820">
      <w:bodyDiv w:val="1"/>
      <w:marLeft w:val="0"/>
      <w:marRight w:val="0"/>
      <w:marTop w:val="0"/>
      <w:marBottom w:val="0"/>
      <w:divBdr>
        <w:top w:val="none" w:sz="0" w:space="0" w:color="auto"/>
        <w:left w:val="none" w:sz="0" w:space="0" w:color="auto"/>
        <w:bottom w:val="none" w:sz="0" w:space="0" w:color="auto"/>
        <w:right w:val="none" w:sz="0" w:space="0" w:color="auto"/>
      </w:divBdr>
    </w:div>
    <w:div w:id="1975408935">
      <w:bodyDiv w:val="1"/>
      <w:marLeft w:val="0"/>
      <w:marRight w:val="0"/>
      <w:marTop w:val="0"/>
      <w:marBottom w:val="0"/>
      <w:divBdr>
        <w:top w:val="none" w:sz="0" w:space="0" w:color="auto"/>
        <w:left w:val="none" w:sz="0" w:space="0" w:color="auto"/>
        <w:bottom w:val="none" w:sz="0" w:space="0" w:color="auto"/>
        <w:right w:val="none" w:sz="0" w:space="0" w:color="auto"/>
      </w:divBdr>
    </w:div>
    <w:div w:id="1975475912">
      <w:bodyDiv w:val="1"/>
      <w:marLeft w:val="0"/>
      <w:marRight w:val="0"/>
      <w:marTop w:val="0"/>
      <w:marBottom w:val="0"/>
      <w:divBdr>
        <w:top w:val="none" w:sz="0" w:space="0" w:color="auto"/>
        <w:left w:val="none" w:sz="0" w:space="0" w:color="auto"/>
        <w:bottom w:val="none" w:sz="0" w:space="0" w:color="auto"/>
        <w:right w:val="none" w:sz="0" w:space="0" w:color="auto"/>
      </w:divBdr>
    </w:div>
    <w:div w:id="1979065853">
      <w:bodyDiv w:val="1"/>
      <w:marLeft w:val="0"/>
      <w:marRight w:val="0"/>
      <w:marTop w:val="0"/>
      <w:marBottom w:val="0"/>
      <w:divBdr>
        <w:top w:val="none" w:sz="0" w:space="0" w:color="auto"/>
        <w:left w:val="none" w:sz="0" w:space="0" w:color="auto"/>
        <w:bottom w:val="none" w:sz="0" w:space="0" w:color="auto"/>
        <w:right w:val="none" w:sz="0" w:space="0" w:color="auto"/>
      </w:divBdr>
    </w:div>
    <w:div w:id="1987928170">
      <w:bodyDiv w:val="1"/>
      <w:marLeft w:val="0"/>
      <w:marRight w:val="0"/>
      <w:marTop w:val="0"/>
      <w:marBottom w:val="0"/>
      <w:divBdr>
        <w:top w:val="none" w:sz="0" w:space="0" w:color="auto"/>
        <w:left w:val="none" w:sz="0" w:space="0" w:color="auto"/>
        <w:bottom w:val="none" w:sz="0" w:space="0" w:color="auto"/>
        <w:right w:val="none" w:sz="0" w:space="0" w:color="auto"/>
      </w:divBdr>
    </w:div>
    <w:div w:id="1995059216">
      <w:bodyDiv w:val="1"/>
      <w:marLeft w:val="0"/>
      <w:marRight w:val="0"/>
      <w:marTop w:val="0"/>
      <w:marBottom w:val="0"/>
      <w:divBdr>
        <w:top w:val="none" w:sz="0" w:space="0" w:color="auto"/>
        <w:left w:val="none" w:sz="0" w:space="0" w:color="auto"/>
        <w:bottom w:val="none" w:sz="0" w:space="0" w:color="auto"/>
        <w:right w:val="none" w:sz="0" w:space="0" w:color="auto"/>
      </w:divBdr>
    </w:div>
    <w:div w:id="2017265469">
      <w:bodyDiv w:val="1"/>
      <w:marLeft w:val="0"/>
      <w:marRight w:val="0"/>
      <w:marTop w:val="0"/>
      <w:marBottom w:val="0"/>
      <w:divBdr>
        <w:top w:val="none" w:sz="0" w:space="0" w:color="auto"/>
        <w:left w:val="none" w:sz="0" w:space="0" w:color="auto"/>
        <w:bottom w:val="none" w:sz="0" w:space="0" w:color="auto"/>
        <w:right w:val="none" w:sz="0" w:space="0" w:color="auto"/>
      </w:divBdr>
    </w:div>
    <w:div w:id="2028750625">
      <w:bodyDiv w:val="1"/>
      <w:marLeft w:val="0"/>
      <w:marRight w:val="0"/>
      <w:marTop w:val="0"/>
      <w:marBottom w:val="0"/>
      <w:divBdr>
        <w:top w:val="none" w:sz="0" w:space="0" w:color="auto"/>
        <w:left w:val="none" w:sz="0" w:space="0" w:color="auto"/>
        <w:bottom w:val="none" w:sz="0" w:space="0" w:color="auto"/>
        <w:right w:val="none" w:sz="0" w:space="0" w:color="auto"/>
      </w:divBdr>
    </w:div>
    <w:div w:id="2034988463">
      <w:bodyDiv w:val="1"/>
      <w:marLeft w:val="0"/>
      <w:marRight w:val="0"/>
      <w:marTop w:val="0"/>
      <w:marBottom w:val="0"/>
      <w:divBdr>
        <w:top w:val="none" w:sz="0" w:space="0" w:color="auto"/>
        <w:left w:val="none" w:sz="0" w:space="0" w:color="auto"/>
        <w:bottom w:val="none" w:sz="0" w:space="0" w:color="auto"/>
        <w:right w:val="none" w:sz="0" w:space="0" w:color="auto"/>
      </w:divBdr>
    </w:div>
    <w:div w:id="2055038383">
      <w:bodyDiv w:val="1"/>
      <w:marLeft w:val="0"/>
      <w:marRight w:val="0"/>
      <w:marTop w:val="0"/>
      <w:marBottom w:val="0"/>
      <w:divBdr>
        <w:top w:val="none" w:sz="0" w:space="0" w:color="auto"/>
        <w:left w:val="none" w:sz="0" w:space="0" w:color="auto"/>
        <w:bottom w:val="none" w:sz="0" w:space="0" w:color="auto"/>
        <w:right w:val="none" w:sz="0" w:space="0" w:color="auto"/>
      </w:divBdr>
    </w:div>
    <w:div w:id="2072459510">
      <w:bodyDiv w:val="1"/>
      <w:marLeft w:val="0"/>
      <w:marRight w:val="0"/>
      <w:marTop w:val="0"/>
      <w:marBottom w:val="0"/>
      <w:divBdr>
        <w:top w:val="none" w:sz="0" w:space="0" w:color="auto"/>
        <w:left w:val="none" w:sz="0" w:space="0" w:color="auto"/>
        <w:bottom w:val="none" w:sz="0" w:space="0" w:color="auto"/>
        <w:right w:val="none" w:sz="0" w:space="0" w:color="auto"/>
      </w:divBdr>
    </w:div>
    <w:div w:id="2073505279">
      <w:bodyDiv w:val="1"/>
      <w:marLeft w:val="0"/>
      <w:marRight w:val="0"/>
      <w:marTop w:val="0"/>
      <w:marBottom w:val="0"/>
      <w:divBdr>
        <w:top w:val="none" w:sz="0" w:space="0" w:color="auto"/>
        <w:left w:val="none" w:sz="0" w:space="0" w:color="auto"/>
        <w:bottom w:val="none" w:sz="0" w:space="0" w:color="auto"/>
        <w:right w:val="none" w:sz="0" w:space="0" w:color="auto"/>
      </w:divBdr>
    </w:div>
    <w:div w:id="2090342062">
      <w:bodyDiv w:val="1"/>
      <w:marLeft w:val="0"/>
      <w:marRight w:val="0"/>
      <w:marTop w:val="0"/>
      <w:marBottom w:val="0"/>
      <w:divBdr>
        <w:top w:val="none" w:sz="0" w:space="0" w:color="auto"/>
        <w:left w:val="none" w:sz="0" w:space="0" w:color="auto"/>
        <w:bottom w:val="none" w:sz="0" w:space="0" w:color="auto"/>
        <w:right w:val="none" w:sz="0" w:space="0" w:color="auto"/>
      </w:divBdr>
    </w:div>
    <w:div w:id="2100978328">
      <w:bodyDiv w:val="1"/>
      <w:marLeft w:val="0"/>
      <w:marRight w:val="0"/>
      <w:marTop w:val="0"/>
      <w:marBottom w:val="0"/>
      <w:divBdr>
        <w:top w:val="none" w:sz="0" w:space="0" w:color="auto"/>
        <w:left w:val="none" w:sz="0" w:space="0" w:color="auto"/>
        <w:bottom w:val="none" w:sz="0" w:space="0" w:color="auto"/>
        <w:right w:val="none" w:sz="0" w:space="0" w:color="auto"/>
      </w:divBdr>
    </w:div>
    <w:div w:id="2112510583">
      <w:bodyDiv w:val="1"/>
      <w:marLeft w:val="0"/>
      <w:marRight w:val="0"/>
      <w:marTop w:val="0"/>
      <w:marBottom w:val="0"/>
      <w:divBdr>
        <w:top w:val="none" w:sz="0" w:space="0" w:color="auto"/>
        <w:left w:val="none" w:sz="0" w:space="0" w:color="auto"/>
        <w:bottom w:val="none" w:sz="0" w:space="0" w:color="auto"/>
        <w:right w:val="none" w:sz="0" w:space="0" w:color="auto"/>
      </w:divBdr>
    </w:div>
    <w:div w:id="2117825461">
      <w:bodyDiv w:val="1"/>
      <w:marLeft w:val="0"/>
      <w:marRight w:val="0"/>
      <w:marTop w:val="0"/>
      <w:marBottom w:val="0"/>
      <w:divBdr>
        <w:top w:val="none" w:sz="0" w:space="0" w:color="auto"/>
        <w:left w:val="none" w:sz="0" w:space="0" w:color="auto"/>
        <w:bottom w:val="none" w:sz="0" w:space="0" w:color="auto"/>
        <w:right w:val="none" w:sz="0" w:space="0" w:color="auto"/>
      </w:divBdr>
    </w:div>
    <w:div w:id="213374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5NUHHDQN7SK2-1476151046-22184</_dlc_DocId>
    <_dlc_DocIdUrl xmlns="f166a696-7b5b-4ccd-9f0c-ffde0cceec81">
      <Url>https://ericsson.sharepoint.com/sites/star/_layouts/15/DocIdRedir.aspx?ID=5NUHHDQN7SK2-1476151046-22184</Url>
      <Description>5NUHHDQN7SK2-1476151046-22184</Description>
    </_dlc_DocIdUrl>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66F6D-A676-478C-B3DD-334A14CC4090}">
  <ds:schemaRefs>
    <ds:schemaRef ds:uri="Microsoft.SharePoint.Taxonomy.ContentTypeSync"/>
  </ds:schemaRefs>
</ds:datastoreItem>
</file>

<file path=customXml/itemProps2.xml><?xml version="1.0" encoding="utf-8"?>
<ds:datastoreItem xmlns:ds="http://schemas.openxmlformats.org/officeDocument/2006/customXml" ds:itemID="{C2F62C60-168F-4D8C-A0E1-705BBC11217E}">
  <ds:schemaRefs>
    <ds:schemaRef ds:uri="http://schemas.microsoft.com/sharepoint/events"/>
  </ds:schemaRefs>
</ds:datastoreItem>
</file>

<file path=customXml/itemProps3.xml><?xml version="1.0" encoding="utf-8"?>
<ds:datastoreItem xmlns:ds="http://schemas.openxmlformats.org/officeDocument/2006/customXml" ds:itemID="{15E3EE1B-9EE6-4C35-AB23-DA110A7383D9}">
  <ds:schemaRefs>
    <ds:schemaRef ds:uri="http://schemas.microsoft.com/sharepoint/v3/contenttype/forms"/>
  </ds:schemaRefs>
</ds:datastoreItem>
</file>

<file path=customXml/itemProps4.xml><?xml version="1.0" encoding="utf-8"?>
<ds:datastoreItem xmlns:ds="http://schemas.openxmlformats.org/officeDocument/2006/customXml" ds:itemID="{267AE65B-C10C-4CFF-853E-0C070396D05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A336CAB0-6D03-43AD-9533-A4A597C48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FCC64B3-3B8F-4E8C-86C3-9EFBE94AA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4206</Words>
  <Characters>23979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2019-04-09T05:38:00Z</dcterms:created>
  <dcterms:modified xsi:type="dcterms:W3CDTF">2019-04-09T07:39:00Z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e71190be-49ea-4a78-a7dd-7c81b6f04702</vt:lpwstr>
  </property>
</Properties>
</file>